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3D64C">
      <w:pPr>
        <w:pStyle w:val="5"/>
        <w:rPr>
          <w:rFonts w:hint="eastAsia" w:ascii="Times New Roman" w:hAnsi="Times New Roman" w:eastAsia="方正小标宋简体" w:cs="Times New Roman"/>
          <w:color w:val="auto"/>
          <w:kern w:val="2"/>
          <w:sz w:val="72"/>
          <w:szCs w:val="72"/>
          <w:highlight w:val="none"/>
          <w:lang w:val="en-US" w:eastAsia="zh-CN" w:bidi="ar-SA"/>
        </w:rPr>
      </w:pPr>
      <w:bookmarkStart w:id="0" w:name="_Toc15377425"/>
      <w:bookmarkStart w:id="1" w:name="_Toc15378441"/>
      <w:bookmarkStart w:id="2" w:name="_Toc15396475"/>
      <w:bookmarkStart w:id="3" w:name="_Toc15396597"/>
      <w:bookmarkStart w:id="4" w:name="_Toc15377193"/>
      <w:bookmarkStart w:id="5" w:name="_Toc15306267"/>
    </w:p>
    <w:p w14:paraId="35C67EC1">
      <w:pPr>
        <w:pStyle w:val="5"/>
        <w:rPr>
          <w:rFonts w:hint="eastAsia" w:ascii="Times New Roman" w:hAnsi="Times New Roman" w:eastAsia="方正小标宋简体" w:cs="Times New Roman"/>
          <w:color w:val="auto"/>
          <w:kern w:val="2"/>
          <w:sz w:val="72"/>
          <w:szCs w:val="72"/>
          <w:highlight w:val="none"/>
          <w:lang w:val="en-US" w:eastAsia="zh-CN" w:bidi="ar-SA"/>
        </w:rPr>
      </w:pPr>
    </w:p>
    <w:p w14:paraId="2E83A645">
      <w:pPr>
        <w:pStyle w:val="5"/>
        <w:rPr>
          <w:rFonts w:hint="eastAsia" w:ascii="Times New Roman" w:hAnsi="Times New Roman" w:eastAsia="方正小标宋简体" w:cs="Times New Roman"/>
          <w:color w:val="auto"/>
          <w:kern w:val="2"/>
          <w:sz w:val="72"/>
          <w:szCs w:val="72"/>
          <w:highlight w:val="none"/>
          <w:lang w:val="en-US" w:eastAsia="zh-CN" w:bidi="ar-SA"/>
        </w:rPr>
      </w:pPr>
    </w:p>
    <w:p w14:paraId="53E1DE65">
      <w:pPr>
        <w:pStyle w:val="5"/>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2024年度四川省总工会成都工人疗养院</w:t>
      </w:r>
    </w:p>
    <w:p w14:paraId="361D032C">
      <w:pPr>
        <w:pStyle w:val="5"/>
        <w:jc w:val="center"/>
        <w:rPr>
          <w:rFonts w:ascii="Times New Roman" w:hAnsi="Times New Roman"/>
        </w:rPr>
        <w:sectPr>
          <w:headerReference r:id="rId4" w:type="first"/>
          <w:footerReference r:id="rId6" w:type="first"/>
          <w:headerReference r:id="rId3" w:type="default"/>
          <w:footerReference r:id="rId5" w:type="default"/>
          <w:pgSz w:w="11906" w:h="16838"/>
          <w:pgMar w:top="1440" w:right="1800" w:bottom="1440" w:left="1800" w:header="851" w:footer="992" w:gutter="0"/>
          <w:pgNumType w:fmt="numberInDash" w:start="1"/>
          <w:cols w:space="425" w:num="1"/>
          <w:titlePg/>
          <w:docGrid w:type="lines" w:linePitch="312" w:charSpace="0"/>
        </w:sectPr>
      </w:pPr>
      <w:r>
        <w:rPr>
          <w:rFonts w:hint="eastAsia" w:ascii="Times New Roman" w:hAnsi="Times New Roman" w:eastAsia="方正小标宋简体" w:cs="Times New Roman"/>
          <w:color w:val="auto"/>
          <w:kern w:val="2"/>
          <w:sz w:val="44"/>
          <w:szCs w:val="44"/>
          <w:highlight w:val="none"/>
          <w:lang w:val="en-US" w:eastAsia="zh-CN" w:bidi="ar-SA"/>
        </w:rPr>
        <w:t>单位决算</w:t>
      </w:r>
    </w:p>
    <w:bookmarkEnd w:id="0"/>
    <w:bookmarkEnd w:id="1"/>
    <w:bookmarkEnd w:id="2"/>
    <w:bookmarkEnd w:id="3"/>
    <w:bookmarkEnd w:id="4"/>
    <w:bookmarkEnd w:id="5"/>
    <w:p w14:paraId="0FF7F767">
      <w:pPr>
        <w:widowControl/>
        <w:jc w:val="both"/>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1BB3A864">
      <w:pPr>
        <w:widowControl/>
        <w:jc w:val="center"/>
        <w:rPr>
          <w:rFonts w:ascii="Times New Roman" w:hAnsi="Times New Roman" w:eastAsia="黑体" w:cstheme="minorBidi"/>
          <w:color w:val="auto"/>
          <w:sz w:val="28"/>
          <w:szCs w:val="28"/>
          <w:highlight w:val="none"/>
        </w:rPr>
      </w:pPr>
    </w:p>
    <w:p w14:paraId="7C38DF90">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12</w:t>
      </w:r>
      <w:r>
        <w:rPr>
          <w:rFonts w:hint="eastAsia" w:ascii="Times New Roman" w:hAnsi="Times New Roman" w:eastAsia="仿宋_GB2312" w:cs="仿宋_GB2312"/>
          <w:color w:val="auto"/>
          <w:sz w:val="32"/>
          <w:szCs w:val="32"/>
          <w:highlight w:val="none"/>
        </w:rPr>
        <w:t>日</w:t>
      </w:r>
    </w:p>
    <w:p w14:paraId="6725F367">
      <w:pPr>
        <w:rPr>
          <w:rFonts w:ascii="Times New Roman" w:hAnsi="Times New Roman"/>
          <w:color w:val="auto"/>
          <w:highlight w:val="none"/>
        </w:rPr>
      </w:pPr>
    </w:p>
    <w:p w14:paraId="67AEFDD8">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outlineLvl w:val="0"/>
        <w:rPr>
          <w:rFonts w:hint="default" w:ascii="Times New Roman" w:hAnsi="Times New Roman" w:eastAsia="黑体" w:cs="黑体"/>
          <w:color w:val="auto"/>
          <w:sz w:val="28"/>
          <w:szCs w:val="28"/>
          <w:highlight w:val="none"/>
          <w:lang w:val="en-US" w:eastAsia="zh-CN"/>
        </w:rPr>
      </w:pPr>
      <w:r>
        <w:rPr>
          <w:rFonts w:hint="eastAsia" w:ascii="Times New Roman" w:hAnsi="Times New Roman" w:eastAsia="黑体" w:cs="黑体"/>
          <w:color w:val="auto"/>
          <w:sz w:val="32"/>
          <w:szCs w:val="32"/>
          <w:highlight w:val="none"/>
        </w:rPr>
        <w:t xml:space="preserve">第一部分 </w:t>
      </w:r>
      <w:r>
        <w:rPr>
          <w:rFonts w:hint="eastAsia" w:ascii="Times New Roman" w:hAnsi="Times New Roman" w:eastAsia="黑体" w:cs="黑体"/>
          <w:color w:val="auto"/>
          <w:sz w:val="32"/>
          <w:szCs w:val="32"/>
          <w:highlight w:val="none"/>
          <w:lang w:eastAsia="zh-CN"/>
        </w:rPr>
        <w:t>单位</w:t>
      </w:r>
      <w:r>
        <w:rPr>
          <w:rFonts w:hint="eastAsia" w:ascii="Times New Roman" w:hAnsi="Times New Roman" w:eastAsia="黑体" w:cs="黑体"/>
          <w:color w:val="auto"/>
          <w:sz w:val="32"/>
          <w:szCs w:val="32"/>
          <w:highlight w:val="none"/>
        </w:rPr>
        <w:t>概况</w:t>
      </w:r>
      <w:r>
        <w:rPr>
          <w:rFonts w:hint="eastAsia" w:ascii="Times New Roman" w:hAnsi="Times New Roman" w:eastAsia="黑体" w:cs="黑体"/>
          <w:color w:val="auto"/>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28"/>
          <w:szCs w:val="28"/>
          <w:highlight w:val="none"/>
          <w:lang w:val="en-US" w:eastAsia="zh-CN" w:bidi="ar-SA"/>
        </w:rPr>
        <w:t>4</w:t>
      </w:r>
    </w:p>
    <w:p w14:paraId="2E8949DC">
      <w:pPr>
        <w:bidi w:val="0"/>
        <w:ind w:firstLine="640" w:firstLineChars="200"/>
        <w:outlineLvl w:val="0"/>
        <w:rPr>
          <w:rFonts w:hint="eastAsia"/>
          <w:sz w:val="28"/>
          <w:szCs w:val="28"/>
        </w:rPr>
      </w:pPr>
      <w:r>
        <w:rPr>
          <w:rFonts w:hint="eastAsia" w:ascii="Times New Roman" w:hAnsi="Times New Roman" w:eastAsia="仿宋_GB2312" w:cs="仿宋_GB2312"/>
          <w:color w:val="auto"/>
          <w:sz w:val="32"/>
          <w:szCs w:val="32"/>
          <w:highlight w:val="none"/>
        </w:rPr>
        <w:t>一、</w:t>
      </w:r>
      <w:r>
        <w:rPr>
          <w:rFonts w:hint="eastAsia" w:eastAsia="仿宋_GB2312" w:cs="仿宋_GB2312"/>
          <w:color w:val="auto"/>
          <w:sz w:val="32"/>
          <w:szCs w:val="32"/>
          <w:highlight w:val="none"/>
          <w:lang w:eastAsia="zh-CN"/>
        </w:rPr>
        <w:t>单位</w:t>
      </w:r>
      <w:r>
        <w:rPr>
          <w:rFonts w:hint="eastAsia" w:ascii="Times New Roman" w:hAnsi="Times New Roman" w:eastAsia="仿宋_GB2312" w:cs="仿宋_GB2312"/>
          <w:color w:val="auto"/>
          <w:sz w:val="32"/>
          <w:szCs w:val="32"/>
          <w:highlight w:val="none"/>
          <w:lang w:eastAsia="zh-CN"/>
        </w:rPr>
        <w:t>职</w:t>
      </w:r>
      <w:r>
        <w:rPr>
          <w:rFonts w:hint="eastAsia" w:eastAsia="仿宋_GB2312" w:cs="仿宋_GB2312"/>
          <w:color w:val="auto"/>
          <w:sz w:val="32"/>
          <w:szCs w:val="32"/>
          <w:highlight w:val="none"/>
          <w:lang w:eastAsia="zh-CN"/>
        </w:rPr>
        <w:t>责.....................................................................</w:t>
      </w:r>
      <w:r>
        <w:rPr>
          <w:rFonts w:hint="eastAsia" w:ascii="Times New Roman" w:hAnsi="Times New Roman" w:eastAsia="宋体" w:cs="Times New Roman"/>
          <w:color w:val="auto"/>
          <w:kern w:val="2"/>
          <w:sz w:val="28"/>
          <w:szCs w:val="28"/>
          <w:highlight w:val="none"/>
          <w:lang w:val="en-US" w:eastAsia="zh-CN" w:bidi="ar-SA"/>
        </w:rPr>
        <w:t>4</w:t>
      </w:r>
    </w:p>
    <w:p w14:paraId="1832A76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outlineLvl w:val="0"/>
        <w:rPr>
          <w:rFonts w:hint="default" w:eastAsia="仿宋_GB2312"/>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eastAsia="zh-CN"/>
        </w:rPr>
        <w:t>.....................................................................</w:t>
      </w:r>
      <w:r>
        <w:rPr>
          <w:rFonts w:hint="eastAsia" w:eastAsia="仿宋_GB2312" w:cs="仿宋_GB2312"/>
          <w:color w:val="auto"/>
          <w:sz w:val="28"/>
          <w:szCs w:val="28"/>
          <w:highlight w:val="none"/>
          <w:lang w:val="en-US" w:eastAsia="zh-CN"/>
        </w:rPr>
        <w:t>4</w:t>
      </w:r>
    </w:p>
    <w:p w14:paraId="56E29B29">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outlineLvl w:val="0"/>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lang w:eastAsia="zh-CN"/>
        </w:rPr>
        <w:t>单位</w:t>
      </w:r>
      <w:r>
        <w:rPr>
          <w:rFonts w:hint="eastAsia" w:ascii="Times New Roman" w:hAnsi="Times New Roman" w:eastAsia="黑体" w:cs="黑体"/>
          <w:color w:val="auto"/>
          <w:sz w:val="32"/>
          <w:szCs w:val="32"/>
          <w:highlight w:val="none"/>
        </w:rPr>
        <w:t>决算情况说明</w:t>
      </w:r>
      <w:r>
        <w:rPr>
          <w:rFonts w:hint="eastAsia" w:ascii="Times New Roman" w:hAnsi="Times New Roman" w:eastAsia="黑体" w:cs="黑体"/>
          <w:color w:val="auto"/>
          <w:sz w:val="32"/>
          <w:szCs w:val="32"/>
          <w:highlight w:val="none"/>
          <w:lang w:val="en-US" w:eastAsia="zh-CN"/>
        </w:rPr>
        <w:t>..................................</w:t>
      </w:r>
      <w:r>
        <w:rPr>
          <w:rFonts w:hint="eastAsia" w:ascii="Times New Roman" w:hAnsi="Times New Roman" w:eastAsia="黑体" w:cs="黑体"/>
          <w:color w:val="auto"/>
          <w:sz w:val="28"/>
          <w:szCs w:val="28"/>
          <w:highlight w:val="none"/>
          <w:lang w:val="en-US" w:eastAsia="zh-CN"/>
        </w:rPr>
        <w:t>5</w:t>
      </w:r>
    </w:p>
    <w:p w14:paraId="75C1207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outlineLvl w:val="0"/>
        <w:rPr>
          <w:rFonts w:hint="default"/>
          <w:lang w:val="en-US"/>
        </w:rPr>
      </w:pPr>
      <w:r>
        <w:rPr>
          <w:rFonts w:hint="eastAsia" w:ascii="Times New Roman" w:hAnsi="Times New Roman" w:eastAsia="仿宋_GB2312" w:cs="仿宋_GB2312"/>
          <w:color w:val="auto"/>
          <w:sz w:val="32"/>
          <w:szCs w:val="32"/>
          <w:highlight w:val="none"/>
        </w:rPr>
        <w:t>一、收入支出决算总体情况说明</w:t>
      </w:r>
      <w:r>
        <w:rPr>
          <w:rFonts w:hint="eastAsia" w:ascii="Times New Roman" w:hAnsi="Times New Roman" w:eastAsia="黑体" w:cs="黑体"/>
          <w:color w:val="auto"/>
          <w:sz w:val="32"/>
          <w:szCs w:val="32"/>
          <w:highlight w:val="none"/>
          <w:lang w:val="en-US" w:eastAsia="zh-CN"/>
        </w:rPr>
        <w:t>.....................................</w:t>
      </w:r>
      <w:r>
        <w:rPr>
          <w:rFonts w:hint="eastAsia" w:eastAsia="黑体" w:cs="黑体"/>
          <w:color w:val="auto"/>
          <w:sz w:val="28"/>
          <w:szCs w:val="28"/>
          <w:highlight w:val="none"/>
          <w:lang w:val="en-US" w:eastAsia="zh-CN"/>
        </w:rPr>
        <w:t>5</w:t>
      </w:r>
    </w:p>
    <w:p w14:paraId="0107CFE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outlineLvl w:val="0"/>
        <w:rPr>
          <w:rFonts w:hint="default"/>
          <w:lang w:val="en-US"/>
        </w:rPr>
      </w:pPr>
      <w:r>
        <w:rPr>
          <w:rFonts w:hint="eastAsia" w:ascii="Times New Roman" w:hAnsi="Times New Roman" w:eastAsia="仿宋_GB2312" w:cs="仿宋_GB2312"/>
          <w:color w:val="auto"/>
          <w:sz w:val="32"/>
          <w:szCs w:val="32"/>
          <w:highlight w:val="none"/>
        </w:rPr>
        <w:t>二、收入决算情况说明</w:t>
      </w:r>
      <w:r>
        <w:rPr>
          <w:rFonts w:hint="eastAsia" w:ascii="Times New Roman" w:hAnsi="Times New Roman" w:eastAsia="黑体" w:cs="黑体"/>
          <w:color w:val="auto"/>
          <w:sz w:val="32"/>
          <w:szCs w:val="32"/>
          <w:highlight w:val="none"/>
          <w:lang w:val="en-US" w:eastAsia="zh-CN"/>
        </w:rPr>
        <w:t>.....................................................</w:t>
      </w:r>
      <w:r>
        <w:rPr>
          <w:rFonts w:hint="eastAsia" w:eastAsia="黑体" w:cs="黑体"/>
          <w:color w:val="auto"/>
          <w:sz w:val="28"/>
          <w:szCs w:val="28"/>
          <w:highlight w:val="none"/>
          <w:lang w:val="en-US" w:eastAsia="zh-CN"/>
        </w:rPr>
        <w:t>5</w:t>
      </w:r>
    </w:p>
    <w:p w14:paraId="0BF74CC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outlineLvl w:val="0"/>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三、支出决算情况说明</w:t>
      </w:r>
      <w:r>
        <w:rPr>
          <w:rFonts w:hint="eastAsia" w:ascii="Times New Roman" w:hAnsi="Times New Roman" w:eastAsia="黑体" w:cs="黑体"/>
          <w:color w:val="auto"/>
          <w:sz w:val="32"/>
          <w:szCs w:val="32"/>
          <w:highlight w:val="none"/>
          <w:lang w:val="en-US" w:eastAsia="zh-CN"/>
        </w:rPr>
        <w:t>.....................................................</w:t>
      </w:r>
      <w:r>
        <w:rPr>
          <w:rFonts w:hint="eastAsia" w:ascii="Times New Roman" w:hAnsi="Times New Roman" w:eastAsia="黑体" w:cs="黑体"/>
          <w:color w:val="auto"/>
          <w:sz w:val="28"/>
          <w:szCs w:val="28"/>
          <w:highlight w:val="none"/>
          <w:lang w:val="en-US" w:eastAsia="zh-CN"/>
        </w:rPr>
        <w:t>6</w:t>
      </w:r>
    </w:p>
    <w:p w14:paraId="45E0A40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outlineLvl w:val="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ascii="Times New Roman" w:hAnsi="Times New Roman" w:eastAsia="黑体" w:cs="黑体"/>
          <w:color w:val="auto"/>
          <w:sz w:val="32"/>
          <w:szCs w:val="32"/>
          <w:highlight w:val="none"/>
          <w:lang w:val="en-US" w:eastAsia="zh-CN"/>
        </w:rPr>
        <w:t>.....................</w:t>
      </w:r>
      <w:r>
        <w:rPr>
          <w:rFonts w:hint="eastAsia" w:eastAsia="黑体" w:cs="黑体"/>
          <w:color w:val="auto"/>
          <w:sz w:val="28"/>
          <w:szCs w:val="28"/>
          <w:highlight w:val="none"/>
          <w:lang w:val="en-US" w:eastAsia="zh-CN"/>
        </w:rPr>
        <w:t>7</w:t>
      </w:r>
    </w:p>
    <w:p w14:paraId="116E05B1">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outlineLvl w:val="0"/>
        <w:rPr>
          <w:rFonts w:hint="default" w:ascii="Times New Roman" w:hAnsi="Times New Roman" w:eastAsia="仿宋_GB2312" w:cs="仿宋_GB2312"/>
          <w:color w:val="auto"/>
          <w:sz w:val="28"/>
          <w:szCs w:val="28"/>
          <w:highlight w:val="none"/>
          <w:lang w:val="en-US"/>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ascii="Times New Roman" w:hAnsi="Times New Roman" w:eastAsia="黑体" w:cs="黑体"/>
          <w:color w:val="auto"/>
          <w:sz w:val="32"/>
          <w:szCs w:val="32"/>
          <w:highlight w:val="none"/>
          <w:lang w:val="en-US" w:eastAsia="zh-CN"/>
        </w:rPr>
        <w:t>.............</w:t>
      </w:r>
      <w:r>
        <w:rPr>
          <w:rFonts w:hint="eastAsia" w:eastAsia="黑体" w:cs="黑体"/>
          <w:color w:val="auto"/>
          <w:sz w:val="28"/>
          <w:szCs w:val="28"/>
          <w:highlight w:val="none"/>
          <w:lang w:val="en-US" w:eastAsia="zh-CN"/>
        </w:rPr>
        <w:t>8</w:t>
      </w:r>
    </w:p>
    <w:p w14:paraId="714ADDD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outlineLvl w:val="0"/>
        <w:rPr>
          <w:rFonts w:hint="default" w:ascii="Times New Roman" w:hAnsi="Times New Roman" w:eastAsia="仿宋_GB2312" w:cs="仿宋_GB2312"/>
          <w:color w:val="auto"/>
          <w:sz w:val="28"/>
          <w:szCs w:val="28"/>
          <w:highlight w:val="none"/>
          <w:lang w:val="en-US"/>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ascii="Times New Roman" w:hAnsi="Times New Roman" w:eastAsia="黑体" w:cs="黑体"/>
          <w:color w:val="auto"/>
          <w:sz w:val="32"/>
          <w:szCs w:val="32"/>
          <w:highlight w:val="none"/>
          <w:lang w:val="en-US" w:eastAsia="zh-CN"/>
        </w:rPr>
        <w:t>.....</w:t>
      </w:r>
      <w:r>
        <w:rPr>
          <w:rFonts w:hint="eastAsia" w:eastAsia="黑体" w:cs="黑体"/>
          <w:color w:val="auto"/>
          <w:sz w:val="28"/>
          <w:szCs w:val="28"/>
          <w:highlight w:val="none"/>
          <w:lang w:val="en-US" w:eastAsia="zh-CN"/>
        </w:rPr>
        <w:t>10</w:t>
      </w:r>
    </w:p>
    <w:p w14:paraId="0251D5A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outlineLvl w:val="0"/>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ascii="Times New Roman" w:hAnsi="Times New Roman" w:eastAsia="黑体" w:cs="黑体"/>
          <w:color w:val="auto"/>
          <w:sz w:val="32"/>
          <w:szCs w:val="32"/>
          <w:highlight w:val="none"/>
          <w:lang w:val="en-US" w:eastAsia="zh-CN"/>
        </w:rPr>
        <w:t>.............</w:t>
      </w:r>
      <w:r>
        <w:rPr>
          <w:rFonts w:hint="eastAsia" w:eastAsia="黑体" w:cs="黑体"/>
          <w:color w:val="auto"/>
          <w:sz w:val="28"/>
          <w:szCs w:val="28"/>
          <w:highlight w:val="none"/>
          <w:lang w:val="en-US" w:eastAsia="zh-CN"/>
        </w:rPr>
        <w:t>11</w:t>
      </w:r>
    </w:p>
    <w:p w14:paraId="681DC174">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outlineLvl w:val="0"/>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八、政府性基金预算支出决算情况说明</w:t>
      </w:r>
      <w:r>
        <w:rPr>
          <w:rFonts w:hint="eastAsia" w:ascii="Times New Roman" w:hAnsi="Times New Roman" w:eastAsia="黑体" w:cs="黑体"/>
          <w:color w:val="auto"/>
          <w:sz w:val="32"/>
          <w:szCs w:val="32"/>
          <w:highlight w:val="none"/>
          <w:lang w:val="en-US" w:eastAsia="zh-CN"/>
        </w:rPr>
        <w:t>.........................</w:t>
      </w:r>
      <w:r>
        <w:rPr>
          <w:rFonts w:hint="eastAsia" w:eastAsia="黑体" w:cs="黑体"/>
          <w:color w:val="auto"/>
          <w:sz w:val="28"/>
          <w:szCs w:val="28"/>
          <w:highlight w:val="none"/>
          <w:lang w:val="en-US" w:eastAsia="zh-CN"/>
        </w:rPr>
        <w:t>12</w:t>
      </w:r>
    </w:p>
    <w:p w14:paraId="4EDAABF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outlineLvl w:val="0"/>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ascii="Times New Roman" w:hAnsi="Times New Roman" w:eastAsia="黑体" w:cs="黑体"/>
          <w:color w:val="auto"/>
          <w:sz w:val="32"/>
          <w:szCs w:val="32"/>
          <w:highlight w:val="none"/>
          <w:lang w:val="en-US" w:eastAsia="zh-CN"/>
        </w:rPr>
        <w:t>.....................</w:t>
      </w:r>
      <w:r>
        <w:rPr>
          <w:rFonts w:hint="eastAsia" w:eastAsia="黑体" w:cs="黑体"/>
          <w:color w:val="auto"/>
          <w:sz w:val="28"/>
          <w:szCs w:val="28"/>
          <w:highlight w:val="none"/>
          <w:lang w:val="en-US" w:eastAsia="zh-CN"/>
        </w:rPr>
        <w:t>12</w:t>
      </w:r>
    </w:p>
    <w:p w14:paraId="0D6A6BA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outlineLvl w:val="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ascii="Times New Roman" w:hAnsi="Times New Roman" w:eastAsia="黑体" w:cs="黑体"/>
          <w:color w:val="auto"/>
          <w:sz w:val="32"/>
          <w:szCs w:val="32"/>
          <w:highlight w:val="none"/>
          <w:lang w:val="en-US" w:eastAsia="zh-CN"/>
        </w:rPr>
        <w:t>.........................................</w:t>
      </w:r>
      <w:r>
        <w:rPr>
          <w:rFonts w:hint="eastAsia" w:eastAsia="黑体" w:cs="黑体"/>
          <w:color w:val="auto"/>
          <w:sz w:val="28"/>
          <w:szCs w:val="28"/>
          <w:highlight w:val="none"/>
          <w:lang w:val="en-US" w:eastAsia="zh-CN"/>
        </w:rPr>
        <w:t>12</w:t>
      </w:r>
    </w:p>
    <w:p w14:paraId="28409F1D">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outlineLvl w:val="0"/>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w:t>
      </w:r>
      <w:r>
        <w:rPr>
          <w:rFonts w:hint="eastAsia" w:ascii="Times New Roman" w:hAnsi="Times New Roman" w:eastAsia="黑体" w:cs="黑体"/>
          <w:color w:val="auto"/>
          <w:sz w:val="28"/>
          <w:szCs w:val="28"/>
          <w:highlight w:val="none"/>
          <w:lang w:val="en-US" w:eastAsia="zh-CN"/>
        </w:rPr>
        <w:t>14</w:t>
      </w:r>
    </w:p>
    <w:p w14:paraId="124A0BB4">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outlineLvl w:val="0"/>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w:t>
      </w:r>
      <w:r>
        <w:rPr>
          <w:rFonts w:hint="eastAsia" w:ascii="Times New Roman" w:hAnsi="Times New Roman" w:eastAsia="黑体" w:cs="黑体"/>
          <w:color w:val="auto"/>
          <w:sz w:val="28"/>
          <w:szCs w:val="28"/>
          <w:highlight w:val="none"/>
          <w:lang w:val="en-US" w:eastAsia="zh-CN"/>
        </w:rPr>
        <w:t>16</w:t>
      </w:r>
    </w:p>
    <w:p w14:paraId="45E19FE3">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outlineLvl w:val="0"/>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w:t>
      </w:r>
      <w:r>
        <w:rPr>
          <w:rFonts w:hint="eastAsia" w:ascii="Times New Roman" w:hAnsi="Times New Roman" w:eastAsia="黑体" w:cs="黑体"/>
          <w:color w:val="auto"/>
          <w:sz w:val="28"/>
          <w:szCs w:val="28"/>
          <w:highlight w:val="none"/>
          <w:lang w:val="en-US" w:eastAsia="zh-CN"/>
        </w:rPr>
        <w:t>.25</w:t>
      </w:r>
    </w:p>
    <w:p w14:paraId="5477587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outlineLvl w:val="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r>
        <w:rPr>
          <w:rFonts w:hint="eastAsia" w:ascii="Times New Roman" w:hAnsi="Times New Roman" w:eastAsia="黑体" w:cs="黑体"/>
          <w:color w:val="auto"/>
          <w:sz w:val="32"/>
          <w:szCs w:val="32"/>
          <w:highlight w:val="none"/>
          <w:lang w:val="en-US" w:eastAsia="zh-CN"/>
        </w:rPr>
        <w:t>.........................................</w:t>
      </w:r>
      <w:r>
        <w:rPr>
          <w:rFonts w:hint="eastAsia" w:ascii="Times New Roman" w:hAnsi="Times New Roman" w:eastAsia="黑体" w:cs="黑体"/>
          <w:color w:val="auto"/>
          <w:sz w:val="28"/>
          <w:szCs w:val="28"/>
          <w:highlight w:val="none"/>
          <w:lang w:val="en-US" w:eastAsia="zh-CN"/>
        </w:rPr>
        <w:t>.</w:t>
      </w:r>
      <w:r>
        <w:rPr>
          <w:rFonts w:hint="eastAsia" w:ascii="Times New Roman" w:hAnsi="Times New Roman" w:eastAsia="黑体" w:cs="黑体"/>
          <w:color w:val="auto"/>
          <w:sz w:val="32"/>
          <w:szCs w:val="32"/>
          <w:highlight w:val="none"/>
          <w:lang w:val="en-US" w:eastAsia="zh-CN"/>
        </w:rPr>
        <w:t>............</w:t>
      </w:r>
      <w:r>
        <w:rPr>
          <w:rFonts w:hint="eastAsia" w:ascii="Times New Roman" w:hAnsi="Times New Roman" w:eastAsia="黑体" w:cs="黑体"/>
          <w:color w:val="auto"/>
          <w:sz w:val="28"/>
          <w:szCs w:val="28"/>
          <w:highlight w:val="none"/>
          <w:lang w:val="en-US" w:eastAsia="zh-CN"/>
        </w:rPr>
        <w:t>2</w:t>
      </w:r>
      <w:r>
        <w:rPr>
          <w:rFonts w:hint="eastAsia" w:eastAsia="黑体" w:cs="黑体"/>
          <w:color w:val="auto"/>
          <w:sz w:val="28"/>
          <w:szCs w:val="28"/>
          <w:highlight w:val="none"/>
          <w:lang w:val="en-US" w:eastAsia="zh-CN"/>
        </w:rPr>
        <w:t>5</w:t>
      </w:r>
    </w:p>
    <w:p w14:paraId="1A46983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outlineLvl w:val="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r>
        <w:rPr>
          <w:rFonts w:hint="eastAsia" w:ascii="Times New Roman" w:hAnsi="Times New Roman" w:eastAsia="黑体" w:cs="黑体"/>
          <w:color w:val="auto"/>
          <w:sz w:val="32"/>
          <w:szCs w:val="32"/>
          <w:highlight w:val="none"/>
          <w:lang w:val="en-US" w:eastAsia="zh-CN"/>
        </w:rPr>
        <w:t>...............................................</w:t>
      </w:r>
      <w:r>
        <w:rPr>
          <w:rFonts w:hint="eastAsia" w:ascii="Times New Roman" w:hAnsi="Times New Roman" w:eastAsia="黑体" w:cs="黑体"/>
          <w:color w:val="auto"/>
          <w:sz w:val="28"/>
          <w:szCs w:val="28"/>
          <w:highlight w:val="none"/>
          <w:lang w:val="en-US" w:eastAsia="zh-CN"/>
        </w:rPr>
        <w:t>.</w:t>
      </w:r>
      <w:r>
        <w:rPr>
          <w:rFonts w:hint="eastAsia" w:ascii="Times New Roman" w:hAnsi="Times New Roman" w:eastAsia="黑体" w:cs="黑体"/>
          <w:color w:val="auto"/>
          <w:sz w:val="32"/>
          <w:szCs w:val="32"/>
          <w:highlight w:val="none"/>
          <w:lang w:val="en-US" w:eastAsia="zh-CN"/>
        </w:rPr>
        <w:t>...........</w:t>
      </w:r>
      <w:r>
        <w:rPr>
          <w:rFonts w:hint="eastAsia" w:ascii="Times New Roman" w:hAnsi="Times New Roman" w:eastAsia="黑体" w:cs="黑体"/>
          <w:color w:val="auto"/>
          <w:sz w:val="28"/>
          <w:szCs w:val="28"/>
          <w:highlight w:val="none"/>
          <w:lang w:val="en-US" w:eastAsia="zh-CN"/>
        </w:rPr>
        <w:t>.</w:t>
      </w:r>
      <w:r>
        <w:rPr>
          <w:rFonts w:hint="eastAsia" w:ascii="Times New Roman" w:hAnsi="Times New Roman" w:eastAsia="黑体" w:cs="黑体"/>
          <w:color w:val="auto"/>
          <w:sz w:val="32"/>
          <w:szCs w:val="32"/>
          <w:highlight w:val="none"/>
          <w:lang w:val="en-US" w:eastAsia="zh-CN"/>
        </w:rPr>
        <w:t>....</w:t>
      </w:r>
      <w:r>
        <w:rPr>
          <w:rFonts w:hint="eastAsia" w:ascii="Times New Roman" w:hAnsi="Times New Roman" w:eastAsia="黑体" w:cs="黑体"/>
          <w:color w:val="auto"/>
          <w:sz w:val="28"/>
          <w:szCs w:val="28"/>
          <w:highlight w:val="none"/>
          <w:lang w:val="en-US" w:eastAsia="zh-CN"/>
        </w:rPr>
        <w:t>..2</w:t>
      </w:r>
      <w:r>
        <w:rPr>
          <w:rFonts w:hint="eastAsia" w:eastAsia="黑体" w:cs="黑体"/>
          <w:color w:val="auto"/>
          <w:sz w:val="28"/>
          <w:szCs w:val="28"/>
          <w:highlight w:val="none"/>
          <w:lang w:val="en-US" w:eastAsia="zh-CN"/>
        </w:rPr>
        <w:t>5</w:t>
      </w:r>
    </w:p>
    <w:p w14:paraId="0415BB97">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outlineLvl w:val="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r>
        <w:rPr>
          <w:rFonts w:hint="eastAsia" w:ascii="Times New Roman" w:hAnsi="Times New Roman" w:eastAsia="黑体" w:cs="黑体"/>
          <w:color w:val="auto"/>
          <w:sz w:val="32"/>
          <w:szCs w:val="32"/>
          <w:highlight w:val="none"/>
          <w:lang w:val="en-US" w:eastAsia="zh-CN"/>
        </w:rPr>
        <w:t>.............................................</w:t>
      </w:r>
      <w:r>
        <w:rPr>
          <w:rFonts w:hint="eastAsia" w:ascii="Times New Roman" w:hAnsi="Times New Roman" w:eastAsia="黑体" w:cs="黑体"/>
          <w:color w:val="auto"/>
          <w:sz w:val="28"/>
          <w:szCs w:val="28"/>
          <w:highlight w:val="none"/>
          <w:lang w:val="en-US" w:eastAsia="zh-CN"/>
        </w:rPr>
        <w:t>.</w:t>
      </w:r>
      <w:r>
        <w:rPr>
          <w:rFonts w:hint="eastAsia" w:ascii="Times New Roman" w:hAnsi="Times New Roman" w:eastAsia="黑体" w:cs="黑体"/>
          <w:color w:val="auto"/>
          <w:sz w:val="32"/>
          <w:szCs w:val="32"/>
          <w:highlight w:val="none"/>
          <w:lang w:val="en-US" w:eastAsia="zh-CN"/>
        </w:rPr>
        <w:t>.............</w:t>
      </w:r>
      <w:r>
        <w:rPr>
          <w:rFonts w:hint="eastAsia" w:ascii="Times New Roman" w:hAnsi="Times New Roman" w:eastAsia="黑体" w:cs="黑体"/>
          <w:color w:val="auto"/>
          <w:sz w:val="28"/>
          <w:szCs w:val="28"/>
          <w:highlight w:val="none"/>
          <w:lang w:val="en-US" w:eastAsia="zh-CN"/>
        </w:rPr>
        <w:t>.</w:t>
      </w:r>
      <w:r>
        <w:rPr>
          <w:rFonts w:hint="eastAsia" w:ascii="Times New Roman" w:hAnsi="Times New Roman" w:eastAsia="黑体" w:cs="黑体"/>
          <w:color w:val="auto"/>
          <w:sz w:val="32"/>
          <w:szCs w:val="32"/>
          <w:highlight w:val="none"/>
          <w:lang w:val="en-US" w:eastAsia="zh-CN"/>
        </w:rPr>
        <w:t>.....</w:t>
      </w:r>
      <w:r>
        <w:rPr>
          <w:rFonts w:hint="eastAsia" w:ascii="Times New Roman" w:hAnsi="Times New Roman" w:eastAsia="黑体" w:cs="黑体"/>
          <w:color w:val="auto"/>
          <w:sz w:val="28"/>
          <w:szCs w:val="28"/>
          <w:highlight w:val="none"/>
          <w:lang w:val="en-US" w:eastAsia="zh-CN"/>
        </w:rPr>
        <w:t>.2</w:t>
      </w:r>
      <w:r>
        <w:rPr>
          <w:rFonts w:hint="eastAsia" w:eastAsia="黑体" w:cs="黑体"/>
          <w:color w:val="auto"/>
          <w:sz w:val="28"/>
          <w:szCs w:val="28"/>
          <w:highlight w:val="none"/>
          <w:lang w:val="en-US" w:eastAsia="zh-CN"/>
        </w:rPr>
        <w:t>5</w:t>
      </w:r>
    </w:p>
    <w:p w14:paraId="610CDA0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outlineLvl w:val="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r>
        <w:rPr>
          <w:rFonts w:hint="eastAsia" w:ascii="Times New Roman" w:hAnsi="Times New Roman" w:eastAsia="黑体" w:cs="黑体"/>
          <w:color w:val="auto"/>
          <w:sz w:val="32"/>
          <w:szCs w:val="32"/>
          <w:highlight w:val="none"/>
          <w:lang w:val="en-US" w:eastAsia="zh-CN"/>
        </w:rPr>
        <w:t>......................................</w:t>
      </w:r>
      <w:r>
        <w:rPr>
          <w:rFonts w:hint="eastAsia" w:ascii="Times New Roman" w:hAnsi="Times New Roman" w:eastAsia="黑体" w:cs="黑体"/>
          <w:color w:val="auto"/>
          <w:sz w:val="28"/>
          <w:szCs w:val="28"/>
          <w:highlight w:val="none"/>
          <w:lang w:val="en-US" w:eastAsia="zh-CN"/>
        </w:rPr>
        <w:t>2</w:t>
      </w:r>
      <w:r>
        <w:rPr>
          <w:rFonts w:hint="eastAsia" w:eastAsia="黑体" w:cs="黑体"/>
          <w:color w:val="auto"/>
          <w:sz w:val="28"/>
          <w:szCs w:val="28"/>
          <w:highlight w:val="none"/>
          <w:lang w:val="en-US" w:eastAsia="zh-CN"/>
        </w:rPr>
        <w:t>5</w:t>
      </w:r>
    </w:p>
    <w:p w14:paraId="5B80BA8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outlineLvl w:val="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r>
        <w:rPr>
          <w:rFonts w:hint="eastAsia" w:ascii="Times New Roman" w:hAnsi="Times New Roman" w:eastAsia="黑体" w:cs="黑体"/>
          <w:color w:val="auto"/>
          <w:sz w:val="32"/>
          <w:szCs w:val="32"/>
          <w:highlight w:val="none"/>
          <w:lang w:val="en-US" w:eastAsia="zh-CN"/>
        </w:rPr>
        <w:t>.........................................</w:t>
      </w:r>
      <w:r>
        <w:rPr>
          <w:rFonts w:hint="eastAsia" w:ascii="Times New Roman" w:hAnsi="Times New Roman" w:eastAsia="黑体" w:cs="黑体"/>
          <w:color w:val="auto"/>
          <w:sz w:val="28"/>
          <w:szCs w:val="28"/>
          <w:highlight w:val="none"/>
          <w:lang w:val="en-US" w:eastAsia="zh-CN"/>
        </w:rPr>
        <w:t>.2</w:t>
      </w:r>
      <w:r>
        <w:rPr>
          <w:rFonts w:hint="eastAsia" w:eastAsia="黑体" w:cs="黑体"/>
          <w:color w:val="auto"/>
          <w:sz w:val="28"/>
          <w:szCs w:val="28"/>
          <w:highlight w:val="none"/>
          <w:lang w:val="en-US" w:eastAsia="zh-CN"/>
        </w:rPr>
        <w:t>5</w:t>
      </w:r>
    </w:p>
    <w:p w14:paraId="08FDEB4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outlineLvl w:val="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r>
        <w:rPr>
          <w:rFonts w:hint="eastAsia" w:ascii="Times New Roman" w:hAnsi="Times New Roman" w:eastAsia="黑体" w:cs="黑体"/>
          <w:color w:val="auto"/>
          <w:sz w:val="32"/>
          <w:szCs w:val="32"/>
          <w:highlight w:val="none"/>
          <w:lang w:val="en-US" w:eastAsia="zh-CN"/>
        </w:rPr>
        <w:t>.........................</w:t>
      </w:r>
      <w:r>
        <w:rPr>
          <w:rFonts w:hint="eastAsia" w:ascii="Times New Roman" w:hAnsi="Times New Roman" w:eastAsia="黑体" w:cs="黑体"/>
          <w:color w:val="auto"/>
          <w:sz w:val="28"/>
          <w:szCs w:val="28"/>
          <w:highlight w:val="none"/>
          <w:lang w:val="en-US" w:eastAsia="zh-CN"/>
        </w:rPr>
        <w:t>.2</w:t>
      </w:r>
      <w:r>
        <w:rPr>
          <w:rFonts w:hint="eastAsia" w:eastAsia="黑体" w:cs="黑体"/>
          <w:color w:val="auto"/>
          <w:sz w:val="28"/>
          <w:szCs w:val="28"/>
          <w:highlight w:val="none"/>
          <w:lang w:val="en-US" w:eastAsia="zh-CN"/>
        </w:rPr>
        <w:t>5</w:t>
      </w:r>
    </w:p>
    <w:p w14:paraId="23B090F7">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outlineLvl w:val="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ascii="Times New Roman" w:hAnsi="Times New Roman" w:eastAsia="黑体" w:cs="黑体"/>
          <w:color w:val="auto"/>
          <w:sz w:val="32"/>
          <w:szCs w:val="32"/>
          <w:highlight w:val="none"/>
          <w:lang w:val="en-US" w:eastAsia="zh-CN"/>
        </w:rPr>
        <w:t>..............</w:t>
      </w:r>
      <w:r>
        <w:rPr>
          <w:rFonts w:hint="eastAsia" w:ascii="Times New Roman" w:hAnsi="Times New Roman" w:eastAsia="黑体" w:cs="黑体"/>
          <w:color w:val="auto"/>
          <w:sz w:val="28"/>
          <w:szCs w:val="28"/>
          <w:highlight w:val="none"/>
          <w:lang w:val="en-US" w:eastAsia="zh-CN"/>
        </w:rPr>
        <w:t>.</w:t>
      </w:r>
      <w:r>
        <w:rPr>
          <w:rFonts w:hint="eastAsia" w:ascii="Times New Roman" w:hAnsi="Times New Roman" w:eastAsia="黑体" w:cs="黑体"/>
          <w:color w:val="auto"/>
          <w:sz w:val="32"/>
          <w:szCs w:val="32"/>
          <w:highlight w:val="none"/>
          <w:lang w:val="en-US" w:eastAsia="zh-CN"/>
        </w:rPr>
        <w:t>..</w:t>
      </w:r>
      <w:r>
        <w:rPr>
          <w:rFonts w:hint="eastAsia" w:ascii="Times New Roman" w:hAnsi="Times New Roman" w:eastAsia="黑体" w:cs="黑体"/>
          <w:color w:val="auto"/>
          <w:sz w:val="28"/>
          <w:szCs w:val="28"/>
          <w:highlight w:val="none"/>
          <w:lang w:val="en-US" w:eastAsia="zh-CN"/>
        </w:rPr>
        <w:t>2</w:t>
      </w:r>
      <w:r>
        <w:rPr>
          <w:rFonts w:hint="eastAsia" w:eastAsia="黑体" w:cs="黑体"/>
          <w:color w:val="auto"/>
          <w:sz w:val="28"/>
          <w:szCs w:val="28"/>
          <w:highlight w:val="none"/>
          <w:lang w:val="en-US" w:eastAsia="zh-CN"/>
        </w:rPr>
        <w:t>5</w:t>
      </w:r>
    </w:p>
    <w:p w14:paraId="07C7339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outlineLvl w:val="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ascii="Times New Roman" w:hAnsi="Times New Roman" w:eastAsia="黑体" w:cs="黑体"/>
          <w:color w:val="auto"/>
          <w:sz w:val="32"/>
          <w:szCs w:val="32"/>
          <w:highlight w:val="none"/>
          <w:lang w:val="en-US" w:eastAsia="zh-CN"/>
        </w:rPr>
        <w:t>.........</w:t>
      </w:r>
      <w:r>
        <w:rPr>
          <w:rFonts w:hint="eastAsia" w:ascii="Times New Roman" w:hAnsi="Times New Roman" w:eastAsia="黑体" w:cs="黑体"/>
          <w:color w:val="auto"/>
          <w:sz w:val="28"/>
          <w:szCs w:val="28"/>
          <w:highlight w:val="none"/>
          <w:lang w:val="en-US" w:eastAsia="zh-CN"/>
        </w:rPr>
        <w:t>.2</w:t>
      </w:r>
      <w:r>
        <w:rPr>
          <w:rFonts w:hint="eastAsia" w:eastAsia="黑体" w:cs="黑体"/>
          <w:color w:val="auto"/>
          <w:sz w:val="28"/>
          <w:szCs w:val="28"/>
          <w:highlight w:val="none"/>
          <w:lang w:val="en-US" w:eastAsia="zh-CN"/>
        </w:rPr>
        <w:t>5</w:t>
      </w:r>
    </w:p>
    <w:p w14:paraId="1DA9DFF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outlineLvl w:val="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ascii="Times New Roman" w:hAnsi="Times New Roman" w:eastAsia="黑体" w:cs="黑体"/>
          <w:color w:val="auto"/>
          <w:sz w:val="32"/>
          <w:szCs w:val="32"/>
          <w:highlight w:val="none"/>
          <w:lang w:val="en-US" w:eastAsia="zh-CN"/>
        </w:rPr>
        <w:t>...........</w:t>
      </w:r>
      <w:r>
        <w:rPr>
          <w:rFonts w:hint="eastAsia" w:ascii="Times New Roman" w:hAnsi="Times New Roman" w:eastAsia="黑体" w:cs="黑体"/>
          <w:color w:val="auto"/>
          <w:sz w:val="28"/>
          <w:szCs w:val="28"/>
          <w:highlight w:val="none"/>
          <w:lang w:val="en-US" w:eastAsia="zh-CN"/>
        </w:rPr>
        <w:t>.</w:t>
      </w:r>
      <w:r>
        <w:rPr>
          <w:rFonts w:hint="eastAsia" w:ascii="Times New Roman" w:hAnsi="Times New Roman" w:eastAsia="黑体" w:cs="黑体"/>
          <w:color w:val="auto"/>
          <w:sz w:val="32"/>
          <w:szCs w:val="32"/>
          <w:highlight w:val="none"/>
          <w:lang w:val="en-US" w:eastAsia="zh-CN"/>
        </w:rPr>
        <w:t>.....</w:t>
      </w:r>
      <w:r>
        <w:rPr>
          <w:rFonts w:hint="eastAsia" w:ascii="Times New Roman" w:hAnsi="Times New Roman" w:eastAsia="黑体" w:cs="黑体"/>
          <w:color w:val="auto"/>
          <w:sz w:val="28"/>
          <w:szCs w:val="28"/>
          <w:highlight w:val="none"/>
          <w:lang w:val="en-US" w:eastAsia="zh-CN"/>
        </w:rPr>
        <w:t>2</w:t>
      </w:r>
      <w:r>
        <w:rPr>
          <w:rFonts w:hint="eastAsia" w:eastAsia="黑体" w:cs="黑体"/>
          <w:color w:val="auto"/>
          <w:sz w:val="28"/>
          <w:szCs w:val="28"/>
          <w:highlight w:val="none"/>
          <w:lang w:val="en-US" w:eastAsia="zh-CN"/>
        </w:rPr>
        <w:t>5</w:t>
      </w:r>
    </w:p>
    <w:p w14:paraId="552A98B7">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outlineLvl w:val="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ascii="Times New Roman" w:hAnsi="Times New Roman" w:eastAsia="黑体" w:cs="黑体"/>
          <w:color w:val="auto"/>
          <w:sz w:val="32"/>
          <w:szCs w:val="32"/>
          <w:highlight w:val="none"/>
          <w:lang w:val="en-US" w:eastAsia="zh-CN"/>
        </w:rPr>
        <w:t>...........</w:t>
      </w:r>
      <w:r>
        <w:rPr>
          <w:rFonts w:hint="eastAsia" w:ascii="Times New Roman" w:hAnsi="Times New Roman" w:eastAsia="黑体" w:cs="黑体"/>
          <w:color w:val="auto"/>
          <w:sz w:val="28"/>
          <w:szCs w:val="28"/>
          <w:highlight w:val="none"/>
          <w:lang w:val="en-US" w:eastAsia="zh-CN"/>
        </w:rPr>
        <w:t>.</w:t>
      </w:r>
      <w:r>
        <w:rPr>
          <w:rFonts w:hint="eastAsia" w:ascii="Times New Roman" w:hAnsi="Times New Roman" w:eastAsia="黑体" w:cs="黑体"/>
          <w:color w:val="auto"/>
          <w:sz w:val="32"/>
          <w:szCs w:val="32"/>
          <w:highlight w:val="none"/>
          <w:lang w:val="en-US" w:eastAsia="zh-CN"/>
        </w:rPr>
        <w:t>.</w:t>
      </w:r>
      <w:r>
        <w:rPr>
          <w:rFonts w:hint="eastAsia" w:ascii="Times New Roman" w:hAnsi="Times New Roman" w:eastAsia="黑体" w:cs="黑体"/>
          <w:color w:val="auto"/>
          <w:sz w:val="28"/>
          <w:szCs w:val="28"/>
          <w:highlight w:val="none"/>
          <w:lang w:val="en-US" w:eastAsia="zh-CN"/>
        </w:rPr>
        <w:t>2</w:t>
      </w:r>
      <w:r>
        <w:rPr>
          <w:rFonts w:hint="eastAsia" w:eastAsia="黑体" w:cs="黑体"/>
          <w:color w:val="auto"/>
          <w:sz w:val="28"/>
          <w:szCs w:val="28"/>
          <w:highlight w:val="none"/>
          <w:lang w:val="en-US" w:eastAsia="zh-CN"/>
        </w:rPr>
        <w:t>5</w:t>
      </w:r>
    </w:p>
    <w:p w14:paraId="05BD6F00">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outlineLvl w:val="0"/>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ascii="Times New Roman" w:hAnsi="Times New Roman" w:eastAsia="黑体" w:cs="黑体"/>
          <w:color w:val="auto"/>
          <w:sz w:val="32"/>
          <w:szCs w:val="32"/>
          <w:highlight w:val="none"/>
          <w:lang w:val="en-US" w:eastAsia="zh-CN"/>
        </w:rPr>
        <w:t>....</w:t>
      </w:r>
      <w:r>
        <w:rPr>
          <w:rFonts w:hint="eastAsia" w:ascii="Times New Roman" w:hAnsi="Times New Roman" w:eastAsia="黑体" w:cs="黑体"/>
          <w:color w:val="auto"/>
          <w:sz w:val="28"/>
          <w:szCs w:val="28"/>
          <w:highlight w:val="none"/>
          <w:lang w:val="en-US" w:eastAsia="zh-CN"/>
        </w:rPr>
        <w:t>.</w:t>
      </w:r>
      <w:r>
        <w:rPr>
          <w:rFonts w:hint="eastAsia" w:eastAsia="黑体" w:cs="黑体"/>
          <w:color w:val="auto"/>
          <w:sz w:val="28"/>
          <w:szCs w:val="28"/>
          <w:highlight w:val="none"/>
          <w:lang w:val="en-US" w:eastAsia="zh-CN"/>
        </w:rPr>
        <w:t>25</w:t>
      </w:r>
    </w:p>
    <w:p w14:paraId="4765DFB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outlineLvl w:val="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ascii="Times New Roman" w:hAnsi="Times New Roman" w:eastAsia="黑体" w:cs="黑体"/>
          <w:color w:val="auto"/>
          <w:sz w:val="32"/>
          <w:szCs w:val="32"/>
          <w:highlight w:val="none"/>
          <w:lang w:val="en-US" w:eastAsia="zh-CN"/>
        </w:rPr>
        <w:t>..........</w:t>
      </w:r>
      <w:r>
        <w:rPr>
          <w:rFonts w:hint="eastAsia" w:ascii="Times New Roman" w:hAnsi="Times New Roman" w:eastAsia="黑体" w:cs="黑体"/>
          <w:color w:val="auto"/>
          <w:sz w:val="28"/>
          <w:szCs w:val="28"/>
          <w:highlight w:val="none"/>
          <w:lang w:val="en-US" w:eastAsia="zh-CN"/>
        </w:rPr>
        <w:t>.</w:t>
      </w:r>
      <w:r>
        <w:rPr>
          <w:rFonts w:hint="eastAsia" w:ascii="Times New Roman" w:hAnsi="Times New Roman" w:eastAsia="黑体" w:cs="黑体"/>
          <w:color w:val="auto"/>
          <w:sz w:val="32"/>
          <w:szCs w:val="32"/>
          <w:highlight w:val="none"/>
          <w:lang w:val="en-US" w:eastAsia="zh-CN"/>
        </w:rPr>
        <w:t>..</w:t>
      </w:r>
      <w:r>
        <w:rPr>
          <w:rFonts w:hint="eastAsia" w:ascii="Times New Roman" w:hAnsi="Times New Roman" w:eastAsia="黑体" w:cs="黑体"/>
          <w:color w:val="auto"/>
          <w:sz w:val="28"/>
          <w:szCs w:val="28"/>
          <w:highlight w:val="none"/>
          <w:lang w:val="en-US" w:eastAsia="zh-CN"/>
        </w:rPr>
        <w:t>2</w:t>
      </w:r>
      <w:r>
        <w:rPr>
          <w:rFonts w:hint="eastAsia" w:eastAsia="黑体" w:cs="黑体"/>
          <w:color w:val="auto"/>
          <w:sz w:val="28"/>
          <w:szCs w:val="28"/>
          <w:highlight w:val="none"/>
          <w:lang w:val="en-US" w:eastAsia="zh-CN"/>
        </w:rPr>
        <w:t>5</w:t>
      </w:r>
    </w:p>
    <w:p w14:paraId="599C3A7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outlineLvl w:val="0"/>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十三、财政拨款“三公”经费支出决算表</w:t>
      </w:r>
      <w:r>
        <w:rPr>
          <w:rFonts w:hint="eastAsia" w:ascii="Times New Roman" w:hAnsi="Times New Roman" w:eastAsia="黑体" w:cs="黑体"/>
          <w:color w:val="auto"/>
          <w:sz w:val="32"/>
          <w:szCs w:val="32"/>
          <w:highlight w:val="none"/>
          <w:lang w:val="en-US" w:eastAsia="zh-CN"/>
        </w:rPr>
        <w:t>..........</w:t>
      </w:r>
      <w:r>
        <w:rPr>
          <w:rFonts w:hint="eastAsia" w:ascii="Times New Roman" w:hAnsi="Times New Roman" w:eastAsia="黑体" w:cs="黑体"/>
          <w:color w:val="auto"/>
          <w:sz w:val="28"/>
          <w:szCs w:val="28"/>
          <w:highlight w:val="none"/>
          <w:lang w:val="en-US" w:eastAsia="zh-CN"/>
        </w:rPr>
        <w:t>.</w:t>
      </w:r>
      <w:r>
        <w:rPr>
          <w:rFonts w:hint="eastAsia" w:ascii="Times New Roman" w:hAnsi="Times New Roman" w:eastAsia="黑体" w:cs="黑体"/>
          <w:color w:val="auto"/>
          <w:sz w:val="32"/>
          <w:szCs w:val="32"/>
          <w:highlight w:val="none"/>
          <w:lang w:val="en-US" w:eastAsia="zh-CN"/>
        </w:rPr>
        <w:t>....</w:t>
      </w:r>
      <w:r>
        <w:rPr>
          <w:rFonts w:hint="eastAsia" w:ascii="Times New Roman" w:hAnsi="Times New Roman" w:eastAsia="黑体" w:cs="黑体"/>
          <w:color w:val="auto"/>
          <w:sz w:val="28"/>
          <w:szCs w:val="28"/>
          <w:highlight w:val="none"/>
          <w:lang w:val="en-US" w:eastAsia="zh-CN"/>
        </w:rPr>
        <w:t>.</w:t>
      </w:r>
      <w:r>
        <w:rPr>
          <w:rFonts w:hint="eastAsia" w:ascii="Times New Roman" w:hAnsi="Times New Roman" w:eastAsia="黑体" w:cs="黑体"/>
          <w:color w:val="auto"/>
          <w:sz w:val="32"/>
          <w:szCs w:val="32"/>
          <w:highlight w:val="none"/>
          <w:lang w:val="en-US" w:eastAsia="zh-CN"/>
        </w:rPr>
        <w:t>....</w:t>
      </w:r>
      <w:r>
        <w:rPr>
          <w:rFonts w:hint="eastAsia" w:ascii="Times New Roman" w:hAnsi="Times New Roman" w:eastAsia="黑体" w:cs="黑体"/>
          <w:color w:val="auto"/>
          <w:sz w:val="28"/>
          <w:szCs w:val="28"/>
          <w:highlight w:val="none"/>
          <w:lang w:val="en-US" w:eastAsia="zh-CN"/>
        </w:rPr>
        <w:t>.</w:t>
      </w:r>
      <w:r>
        <w:rPr>
          <w:rFonts w:hint="eastAsia" w:ascii="Times New Roman" w:hAnsi="Times New Roman" w:eastAsia="黑体" w:cs="黑体"/>
          <w:color w:val="auto"/>
          <w:sz w:val="32"/>
          <w:szCs w:val="32"/>
          <w:highlight w:val="none"/>
          <w:lang w:val="en-US" w:eastAsia="zh-CN"/>
        </w:rPr>
        <w:t>.</w:t>
      </w:r>
      <w:r>
        <w:rPr>
          <w:rFonts w:hint="eastAsia" w:eastAsia="黑体" w:cs="黑体"/>
          <w:color w:val="auto"/>
          <w:sz w:val="32"/>
          <w:szCs w:val="32"/>
          <w:highlight w:val="none"/>
          <w:lang w:val="en-US" w:eastAsia="zh-CN"/>
        </w:rPr>
        <w:t>25</w:t>
      </w:r>
    </w:p>
    <w:p w14:paraId="30A4C249">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6" w:name="_Toc15396599"/>
      <w:bookmarkStart w:id="7" w:name="_Toc15377196"/>
      <w:r>
        <w:rPr>
          <w:rFonts w:hint="eastAsia" w:ascii="Times New Roman" w:hAnsi="Times New Roman" w:eastAsia="仿宋_GB2312" w:cs="仿宋_GB2312"/>
          <w:b/>
          <w:color w:val="auto"/>
          <w:sz w:val="32"/>
          <w:szCs w:val="32"/>
          <w:highlight w:val="none"/>
        </w:rPr>
        <w:br w:type="page"/>
      </w:r>
    </w:p>
    <w:p w14:paraId="5B8148D2">
      <w:pPr>
        <w:pStyle w:val="2"/>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eastAsia="方正小标宋简体" w:cs="方正小标宋简体"/>
          <w:b w:val="0"/>
          <w:bCs w:val="0"/>
          <w:color w:val="auto"/>
          <w:highlight w:val="none"/>
          <w:lang w:eastAsia="zh-CN"/>
        </w:rPr>
        <w:t>单位</w:t>
      </w:r>
      <w:r>
        <w:rPr>
          <w:rStyle w:val="28"/>
          <w:rFonts w:hint="eastAsia" w:ascii="Times New Roman" w:hAnsi="Times New Roman" w:eastAsia="方正小标宋简体" w:cs="方正小标宋简体"/>
          <w:b w:val="0"/>
          <w:bCs w:val="0"/>
          <w:color w:val="auto"/>
          <w:highlight w:val="none"/>
        </w:rPr>
        <w:t>概况</w:t>
      </w:r>
      <w:bookmarkEnd w:id="6"/>
      <w:bookmarkEnd w:id="7"/>
    </w:p>
    <w:p w14:paraId="52EEB5D0">
      <w:pPr>
        <w:widowControl/>
        <w:jc w:val="left"/>
        <w:rPr>
          <w:rFonts w:ascii="Times New Roman" w:hAnsi="Times New Roman" w:eastAsia="黑体"/>
          <w:color w:val="auto"/>
          <w:sz w:val="32"/>
          <w:szCs w:val="32"/>
          <w:highlight w:val="none"/>
        </w:rPr>
      </w:pPr>
    </w:p>
    <w:p w14:paraId="248C7E92">
      <w:pPr>
        <w:pStyle w:val="3"/>
        <w:numPr>
          <w:ilvl w:val="0"/>
          <w:numId w:val="1"/>
        </w:numPr>
        <w:outlineLvl w:val="0"/>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单位职责</w:t>
      </w:r>
    </w:p>
    <w:p w14:paraId="11ABF98E">
      <w:pPr>
        <w:ind w:firstLine="640" w:firstLineChars="200"/>
        <w:rPr>
          <w:rFonts w:hint="eastAsia"/>
          <w:lang w:eastAsia="zh-CN"/>
        </w:rPr>
      </w:pPr>
      <w:r>
        <w:rPr>
          <w:rFonts w:hint="eastAsia" w:ascii="仿宋_GB2312" w:eastAsia="仿宋_GB2312"/>
          <w:sz w:val="32"/>
          <w:szCs w:val="32"/>
        </w:rPr>
        <w:t>四川省总工会成都工人疗养院坐落在成都大熊猫繁育研究基地旁，始建于1953年，是直属于四川省总工会的一所集</w:t>
      </w:r>
      <w:r>
        <w:rPr>
          <w:rFonts w:hint="eastAsia" w:ascii="仿宋_GB2312" w:eastAsia="仿宋_GB2312"/>
          <w:sz w:val="32"/>
          <w:szCs w:val="32"/>
        </w:rPr>
        <w:fldChar w:fldCharType="begin"/>
      </w:r>
      <w:r>
        <w:rPr>
          <w:rFonts w:hint="eastAsia" w:ascii="仿宋_GB2312" w:eastAsia="仿宋_GB2312"/>
          <w:sz w:val="32"/>
          <w:szCs w:val="32"/>
        </w:rPr>
        <w:instrText xml:space="preserve"> HYPERLINK "http://www.cdgrlyy.org/news20120103100103_1_1.html" \t "http://www.cdgrlyy.org/about/_blank" </w:instrText>
      </w:r>
      <w:r>
        <w:rPr>
          <w:rFonts w:hint="eastAsia" w:ascii="仿宋_GB2312" w:eastAsia="仿宋_GB2312"/>
          <w:sz w:val="32"/>
          <w:szCs w:val="32"/>
        </w:rPr>
        <w:fldChar w:fldCharType="separate"/>
      </w:r>
      <w:r>
        <w:rPr>
          <w:rFonts w:hint="eastAsia" w:ascii="仿宋_GB2312" w:eastAsia="仿宋_GB2312"/>
          <w:sz w:val="32"/>
          <w:szCs w:val="32"/>
        </w:rPr>
        <w:t>健康体检</w:t>
      </w:r>
      <w:r>
        <w:rPr>
          <w:rFonts w:hint="eastAsia" w:ascii="仿宋_GB2312" w:eastAsia="仿宋_GB2312"/>
          <w:sz w:val="32"/>
          <w:szCs w:val="32"/>
        </w:rPr>
        <w:fldChar w:fldCharType="end"/>
      </w:r>
      <w:r>
        <w:rPr>
          <w:rFonts w:hint="eastAsia" w:ascii="仿宋_GB2312" w:eastAsia="仿宋_GB2312"/>
          <w:sz w:val="32"/>
          <w:szCs w:val="32"/>
        </w:rPr>
        <w:t>、</w:t>
      </w:r>
      <w:r>
        <w:rPr>
          <w:rFonts w:hint="eastAsia" w:ascii="仿宋_GB2312" w:eastAsia="仿宋_GB2312"/>
          <w:sz w:val="32"/>
          <w:szCs w:val="32"/>
        </w:rPr>
        <w:fldChar w:fldCharType="begin"/>
      </w:r>
      <w:r>
        <w:rPr>
          <w:rFonts w:hint="eastAsia" w:ascii="仿宋_GB2312" w:eastAsia="仿宋_GB2312"/>
          <w:sz w:val="32"/>
          <w:szCs w:val="32"/>
        </w:rPr>
        <w:instrText xml:space="preserve"> HYPERLINK "http://www.cdgrlyy.org/news20120920230508_23_1.html" \t "http://www.cdgrlyy.org/about/_blank" </w:instrText>
      </w:r>
      <w:r>
        <w:rPr>
          <w:rFonts w:hint="eastAsia" w:ascii="仿宋_GB2312" w:eastAsia="仿宋_GB2312"/>
          <w:sz w:val="32"/>
          <w:szCs w:val="32"/>
        </w:rPr>
        <w:fldChar w:fldCharType="separate"/>
      </w:r>
      <w:r>
        <w:rPr>
          <w:rFonts w:hint="eastAsia" w:ascii="仿宋_GB2312" w:eastAsia="仿宋_GB2312"/>
          <w:sz w:val="32"/>
          <w:szCs w:val="32"/>
        </w:rPr>
        <w:t>疗休养</w:t>
      </w:r>
      <w:r>
        <w:rPr>
          <w:rFonts w:hint="eastAsia" w:ascii="仿宋_GB2312" w:eastAsia="仿宋_GB2312"/>
          <w:sz w:val="32"/>
          <w:szCs w:val="32"/>
        </w:rPr>
        <w:fldChar w:fldCharType="end"/>
      </w:r>
      <w:r>
        <w:rPr>
          <w:rFonts w:hint="eastAsia" w:ascii="仿宋_GB2312" w:eastAsia="仿宋_GB2312"/>
          <w:sz w:val="32"/>
          <w:szCs w:val="32"/>
        </w:rPr>
        <w:t>和</w:t>
      </w:r>
      <w:r>
        <w:rPr>
          <w:rFonts w:hint="eastAsia" w:ascii="仿宋_GB2312" w:eastAsia="仿宋_GB2312"/>
          <w:sz w:val="32"/>
          <w:szCs w:val="32"/>
        </w:rPr>
        <w:fldChar w:fldCharType="begin"/>
      </w:r>
      <w:r>
        <w:rPr>
          <w:rFonts w:hint="eastAsia" w:ascii="仿宋_GB2312" w:eastAsia="仿宋_GB2312"/>
          <w:sz w:val="32"/>
          <w:szCs w:val="32"/>
        </w:rPr>
        <w:instrText xml:space="preserve"> HYPERLINK "http://www.cdgrlyy.org/news20120920230508_24_1.html" \t "http://www.cdgrlyy.org/about/_blank" </w:instrText>
      </w:r>
      <w:r>
        <w:rPr>
          <w:rFonts w:hint="eastAsia" w:ascii="仿宋_GB2312" w:eastAsia="仿宋_GB2312"/>
          <w:sz w:val="32"/>
          <w:szCs w:val="32"/>
        </w:rPr>
        <w:fldChar w:fldCharType="separate"/>
      </w:r>
      <w:r>
        <w:rPr>
          <w:rFonts w:hint="eastAsia" w:ascii="仿宋_GB2312" w:eastAsia="仿宋_GB2312"/>
          <w:sz w:val="32"/>
          <w:szCs w:val="32"/>
        </w:rPr>
        <w:t>工会干部培训</w:t>
      </w:r>
      <w:r>
        <w:rPr>
          <w:rFonts w:hint="eastAsia" w:ascii="仿宋_GB2312" w:eastAsia="仿宋_GB2312"/>
          <w:sz w:val="32"/>
          <w:szCs w:val="32"/>
        </w:rPr>
        <w:fldChar w:fldCharType="end"/>
      </w:r>
      <w:r>
        <w:rPr>
          <w:rFonts w:hint="eastAsia" w:ascii="仿宋_GB2312" w:eastAsia="仿宋_GB2312"/>
          <w:sz w:val="32"/>
          <w:szCs w:val="32"/>
        </w:rPr>
        <w:t>为一体</w:t>
      </w:r>
      <w:r>
        <w:rPr>
          <w:rFonts w:hint="eastAsia" w:ascii="仿宋_GB2312" w:eastAsia="仿宋_GB2312"/>
          <w:sz w:val="32"/>
          <w:szCs w:val="32"/>
          <w:lang w:eastAsia="zh-CN"/>
        </w:rPr>
        <w:t>的</w:t>
      </w:r>
      <w:r>
        <w:rPr>
          <w:rFonts w:hint="eastAsia" w:ascii="仿宋_GB2312" w:eastAsia="仿宋_GB2312"/>
          <w:sz w:val="32"/>
          <w:szCs w:val="32"/>
        </w:rPr>
        <w:t>综合型疗养院。四川省总工会健康体检中心是四川省总工会2012年4月批准设立，是四川省人民医院健康体检中心北区分部，是开展健康体检及健康管理的专业机构，主要从事健康体检、健康教育、健康与亚健康咨询以及保健管理等全方位的医疗健康服务。是四川省工会干部培训基地、劳动模范、职工疗休养基地和职工健康体检基地。</w:t>
      </w:r>
    </w:p>
    <w:p w14:paraId="14EF72BD">
      <w:pPr>
        <w:numPr>
          <w:ilvl w:val="0"/>
          <w:numId w:val="0"/>
        </w:numPr>
        <w:rPr>
          <w:rFonts w:hint="eastAsia"/>
          <w:lang w:eastAsia="zh-CN"/>
        </w:rPr>
      </w:pPr>
    </w:p>
    <w:p w14:paraId="7C0E34C5">
      <w:pPr>
        <w:pStyle w:val="3"/>
        <w:outlineLvl w:val="0"/>
        <w:rPr>
          <w:rStyle w:val="29"/>
          <w:rFonts w:ascii="Times New Roman" w:hAnsi="Times New Roman"/>
          <w:b w:val="0"/>
          <w:bCs w:val="0"/>
          <w:color w:val="auto"/>
          <w:highlight w:val="none"/>
        </w:rPr>
      </w:pPr>
      <w:bookmarkStart w:id="8" w:name="_Toc15377200"/>
      <w:bookmarkStart w:id="9" w:name="_Toc15396601"/>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8"/>
      <w:bookmarkEnd w:id="9"/>
    </w:p>
    <w:p w14:paraId="649B3126">
      <w:pPr>
        <w:ind w:firstLine="480" w:firstLineChars="150"/>
        <w:rPr>
          <w:rFonts w:hint="eastAsia" w:ascii="仿宋_GB2312" w:hAnsi="仿宋_GB2312" w:eastAsia="仿宋_GB2312" w:cs="仿宋_GB2312"/>
          <w:color w:val="000000" w:themeColor="text1"/>
          <w:sz w:val="32"/>
          <w:szCs w:val="32"/>
          <w14:textFill>
            <w14:solidFill>
              <w14:schemeClr w14:val="tx1"/>
            </w14:solidFill>
          </w14:textFill>
        </w:rPr>
      </w:pPr>
      <w:bookmarkStart w:id="10" w:name="_Toc15306275"/>
      <w:bookmarkStart w:id="11" w:name="_Toc15378448"/>
      <w:bookmarkStart w:id="12" w:name="_Toc15377432"/>
      <w:bookmarkStart w:id="13" w:name="_Toc15377201"/>
      <w:r>
        <w:rPr>
          <w:rFonts w:hint="eastAsia" w:ascii="仿宋_GB2312" w:hAnsi="仿宋_GB2312" w:eastAsia="仿宋_GB2312" w:cs="仿宋_GB2312"/>
          <w:color w:val="000000" w:themeColor="text1"/>
          <w:sz w:val="32"/>
          <w:szCs w:val="32"/>
          <w14:textFill>
            <w14:solidFill>
              <w14:schemeClr w14:val="tx1"/>
            </w14:solidFill>
          </w14:textFill>
        </w:rPr>
        <w:t>四川省总工会成都工人疗养院是直属于四川省总工会的二级预算单位，共设置6个科室，分别是办公室、财务科、总务科、休养所、体检中心、营养餐厅。</w:t>
      </w:r>
      <w:r>
        <w:rPr>
          <w:rFonts w:hint="eastAsia" w:ascii="仿宋_GB2312" w:eastAsia="仿宋_GB2312" w:hAnsiTheme="minorEastAsia" w:cstheme="minorEastAsia"/>
          <w:sz w:val="32"/>
          <w:szCs w:val="32"/>
        </w:rPr>
        <w:t>202</w:t>
      </w:r>
      <w:r>
        <w:rPr>
          <w:rFonts w:hint="eastAsia" w:ascii="仿宋_GB2312" w:eastAsia="仿宋_GB2312" w:hAnsiTheme="minorEastAsia" w:cstheme="minorEastAsia"/>
          <w:sz w:val="32"/>
          <w:szCs w:val="32"/>
          <w:lang w:val="en-US" w:eastAsia="zh-CN"/>
        </w:rPr>
        <w:t>4</w:t>
      </w:r>
      <w:r>
        <w:rPr>
          <w:rFonts w:hint="eastAsia" w:ascii="仿宋_GB2312" w:eastAsia="仿宋_GB2312" w:hAnsiTheme="minorEastAsia" w:cstheme="minorEastAsia"/>
          <w:sz w:val="32"/>
          <w:szCs w:val="32"/>
        </w:rPr>
        <w:t>年内设机构无变动。</w:t>
      </w:r>
    </w:p>
    <w:bookmarkEnd w:id="10"/>
    <w:bookmarkEnd w:id="11"/>
    <w:bookmarkEnd w:id="12"/>
    <w:bookmarkEnd w:id="13"/>
    <w:p w14:paraId="7B307B75">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60773B80">
      <w:pPr>
        <w:pStyle w:val="2"/>
        <w:jc w:val="center"/>
        <w:rPr>
          <w:rFonts w:hint="eastAsia" w:ascii="Times New Roman" w:hAnsi="Times New Roman" w:eastAsia="方正小标宋简体" w:cs="方正小标宋简体"/>
          <w:b w:val="0"/>
          <w:color w:val="auto"/>
          <w:highlight w:val="none"/>
        </w:rPr>
      </w:pPr>
      <w:bookmarkStart w:id="14" w:name="_Toc15396602"/>
      <w:bookmarkStart w:id="15"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eastAsia="zh-CN"/>
        </w:rPr>
        <w:t>单位</w:t>
      </w:r>
      <w:r>
        <w:rPr>
          <w:rFonts w:hint="eastAsia" w:ascii="Times New Roman" w:hAnsi="Times New Roman" w:eastAsia="方正小标宋简体" w:cs="方正小标宋简体"/>
          <w:b w:val="0"/>
          <w:color w:val="auto"/>
          <w:highlight w:val="none"/>
        </w:rPr>
        <w:t>决算情况说明</w:t>
      </w:r>
      <w:bookmarkEnd w:id="14"/>
      <w:bookmarkEnd w:id="15"/>
    </w:p>
    <w:p w14:paraId="61A7A033">
      <w:pPr>
        <w:rPr>
          <w:rFonts w:ascii="Times New Roman" w:hAnsi="Times New Roman"/>
          <w:color w:val="auto"/>
          <w:highlight w:val="none"/>
        </w:rPr>
      </w:pPr>
    </w:p>
    <w:p w14:paraId="1DF0E4A3">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0"/>
        <w:rPr>
          <w:rStyle w:val="29"/>
          <w:rFonts w:hint="eastAsia" w:ascii="Times New Roman" w:hAnsi="Times New Roman" w:eastAsia="黑体"/>
          <w:b w:val="0"/>
          <w:color w:val="auto"/>
          <w:highlight w:val="none"/>
        </w:rPr>
      </w:pPr>
      <w:bookmarkStart w:id="16" w:name="_Toc15377205"/>
      <w:bookmarkStart w:id="17"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6"/>
      <w:bookmarkEnd w:id="17"/>
    </w:p>
    <w:p w14:paraId="2DD10E73">
      <w:pPr>
        <w:ind w:firstLine="709"/>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262.28</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115.38</w:t>
      </w:r>
      <w:r>
        <w:rPr>
          <w:rFonts w:hint="eastAsia" w:ascii="Times New Roman" w:hAnsi="Times New Roman" w:eastAsia="仿宋_GB2312" w:cs="仿宋_GB2312"/>
          <w:color w:val="auto"/>
          <w:sz w:val="32"/>
          <w:szCs w:val="32"/>
          <w:highlight w:val="none"/>
        </w:rPr>
        <w:t>万元，增长</w:t>
      </w:r>
      <w:r>
        <w:rPr>
          <w:rFonts w:hint="eastAsia" w:ascii="仿宋_GB2312" w:hAnsi="仿宋" w:eastAsia="仿宋_GB2312"/>
          <w:sz w:val="32"/>
          <w:szCs w:val="32"/>
          <w:lang w:val="en-US" w:eastAsia="zh-CN"/>
        </w:rPr>
        <w:t>78.5</w:t>
      </w:r>
      <w:r>
        <w:rPr>
          <w:rFonts w:hint="eastAsia" w:ascii="Times New Roman" w:hAnsi="Times New Roman" w:eastAsia="仿宋_GB2312" w:cs="仿宋_GB2312"/>
          <w:color w:val="auto"/>
          <w:sz w:val="32"/>
          <w:szCs w:val="32"/>
          <w:highlight w:val="none"/>
        </w:rPr>
        <w:t>%。主要变动原因</w:t>
      </w:r>
      <w:r>
        <w:rPr>
          <w:rFonts w:hint="eastAsia" w:ascii="仿宋_GB2312" w:hAnsi="仿宋" w:eastAsia="仿宋_GB2312"/>
          <w:sz w:val="32"/>
          <w:szCs w:val="32"/>
          <w:lang w:val="en-US" w:eastAsia="zh-CN"/>
        </w:rPr>
        <w:t>一是2024年财政对我单位在职人员社保、住房公积金单位缴费部分及离退休公用经费进行了全额保障；二是2024年新增了对我单位退休人员生活补助的保障15万元</w:t>
      </w:r>
      <w:r>
        <w:rPr>
          <w:rFonts w:hint="eastAsia" w:ascii="仿宋_GB2312" w:hAnsi="仿宋" w:eastAsia="仿宋_GB2312" w:cs="仿宋"/>
          <w:color w:val="000000"/>
          <w:sz w:val="32"/>
          <w:szCs w:val="32"/>
          <w:lang w:val="en-US" w:eastAsia="zh-CN"/>
        </w:rPr>
        <w:t>。</w:t>
      </w:r>
    </w:p>
    <w:p w14:paraId="447472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07740B4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仿宋_GB2312"/>
          <w:color w:val="auto"/>
          <w:sz w:val="32"/>
          <w:szCs w:val="32"/>
          <w:highlight w:val="none"/>
        </w:rPr>
      </w:pPr>
      <w:r>
        <w:drawing>
          <wp:inline distT="0" distB="0" distL="114300" distR="114300">
            <wp:extent cx="4662805" cy="3261360"/>
            <wp:effectExtent l="4445" t="4445" r="11430" b="10795"/>
            <wp:docPr id="1844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4F1252E">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0"/>
        <w:rPr>
          <w:rFonts w:hint="eastAsia" w:ascii="Times New Roman" w:hAnsi="Times New Roman" w:eastAsia="黑体"/>
          <w:color w:val="auto"/>
          <w:sz w:val="32"/>
          <w:szCs w:val="32"/>
          <w:highlight w:val="none"/>
          <w:lang w:eastAsia="zh-CN"/>
        </w:rPr>
      </w:pPr>
      <w:bookmarkStart w:id="18" w:name="_Toc15377206"/>
      <w:bookmarkStart w:id="19" w:name="_Toc15396604"/>
      <w:r>
        <w:rPr>
          <w:rFonts w:hint="eastAsia" w:ascii="Times New Roman" w:hAnsi="Times New Roman" w:eastAsia="黑体"/>
          <w:color w:val="auto"/>
          <w:sz w:val="32"/>
          <w:szCs w:val="32"/>
          <w:highlight w:val="none"/>
          <w:lang w:eastAsia="zh-CN"/>
        </w:rPr>
        <w:t>二、收入决算情况说明</w:t>
      </w:r>
      <w:bookmarkEnd w:id="18"/>
      <w:bookmarkEnd w:id="19"/>
    </w:p>
    <w:p w14:paraId="3E272759">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outlineLvl w:val="9"/>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262.28万元，其中：一般公共预算财政拨款收入262.28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4E99BAAA">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1CA9B18C">
      <w:pPr>
        <w:bidi w:val="0"/>
        <w:rPr>
          <w:rFonts w:hint="eastAsia"/>
          <w:lang w:eastAsia="zh-CN"/>
        </w:rPr>
      </w:pPr>
      <w:r>
        <w:drawing>
          <wp:inline distT="0" distB="0" distL="114300" distR="114300">
            <wp:extent cx="4919345" cy="2931160"/>
            <wp:effectExtent l="4445" t="4445" r="13970" b="5715"/>
            <wp:docPr id="1"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509F3AB">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0"/>
        <w:rPr>
          <w:rStyle w:val="29"/>
          <w:rFonts w:hint="eastAsia" w:ascii="Times New Roman" w:hAnsi="Times New Roman" w:eastAsia="黑体"/>
          <w:b w:val="0"/>
          <w:color w:val="auto"/>
          <w:highlight w:val="none"/>
        </w:rPr>
      </w:pPr>
      <w:bookmarkStart w:id="20" w:name="_Toc15377207"/>
      <w:bookmarkStart w:id="21"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20"/>
      <w:bookmarkEnd w:id="21"/>
    </w:p>
    <w:p w14:paraId="378F2C84">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262.28</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262.28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1D831183">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7400D681">
      <w:pPr>
        <w:bidi w:val="0"/>
        <w:rPr>
          <w:rFonts w:hint="eastAsia"/>
          <w:lang w:eastAsia="zh-CN"/>
        </w:rPr>
      </w:pPr>
    </w:p>
    <w:p w14:paraId="420D466D">
      <w:pPr>
        <w:bidi w:val="0"/>
        <w:rPr>
          <w:rFonts w:hint="eastAsia" w:ascii="Times New Roman" w:hAnsi="Times New Roman" w:eastAsia="仿宋_GB2312" w:cs="仿宋_GB2312"/>
          <w:color w:val="auto"/>
          <w:sz w:val="32"/>
          <w:szCs w:val="32"/>
          <w:highlight w:val="none"/>
          <w:lang w:eastAsia="zh-CN"/>
        </w:rPr>
      </w:pPr>
      <w:r>
        <w:drawing>
          <wp:inline distT="0" distB="0" distL="114300" distR="114300">
            <wp:extent cx="4796790" cy="2502535"/>
            <wp:effectExtent l="4445" t="4445" r="14605" b="7620"/>
            <wp:docPr id="1435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A877192">
      <w:pPr>
        <w:spacing w:line="600" w:lineRule="exact"/>
        <w:ind w:firstLine="640" w:firstLineChars="200"/>
        <w:outlineLvl w:val="0"/>
        <w:rPr>
          <w:rStyle w:val="29"/>
          <w:rFonts w:ascii="Times New Roman" w:hAnsi="Times New Roman" w:eastAsia="黑体"/>
          <w:b w:val="0"/>
          <w:color w:val="auto"/>
          <w:highlight w:val="none"/>
        </w:rPr>
      </w:pPr>
      <w:bookmarkStart w:id="22" w:name="_Toc15377208"/>
      <w:bookmarkStart w:id="23" w:name="_Toc15396606"/>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2"/>
      <w:bookmarkEnd w:id="23"/>
    </w:p>
    <w:p w14:paraId="7700D858">
      <w:pPr>
        <w:ind w:firstLine="70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262.28</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sz w:val="32"/>
          <w:szCs w:val="32"/>
          <w:highlight w:val="none"/>
          <w:lang w:val="en-US" w:eastAsia="zh-CN"/>
        </w:rPr>
        <w:t>115.38</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ascii="仿宋_GB2312" w:hAnsi="仿宋" w:eastAsia="仿宋_GB2312"/>
          <w:sz w:val="32"/>
          <w:szCs w:val="32"/>
          <w:lang w:val="en-US" w:eastAsia="zh-CN"/>
        </w:rPr>
        <w:t>78.5</w:t>
      </w:r>
      <w:r>
        <w:rPr>
          <w:rFonts w:hint="eastAsia" w:ascii="Times New Roman" w:hAnsi="Times New Roman" w:eastAsia="仿宋_GB2312" w:cs="仿宋_GB2312"/>
          <w:color w:val="auto"/>
          <w:kern w:val="2"/>
          <w:sz w:val="32"/>
          <w:szCs w:val="32"/>
          <w:highlight w:val="none"/>
          <w:lang w:val="en-US" w:eastAsia="zh-CN" w:bidi="ar-SA"/>
        </w:rPr>
        <w:t>%。主要变动原因</w:t>
      </w:r>
      <w:r>
        <w:rPr>
          <w:rFonts w:hint="eastAsia" w:ascii="仿宋_GB2312" w:hAnsi="仿宋" w:eastAsia="仿宋_GB2312"/>
          <w:sz w:val="32"/>
          <w:szCs w:val="32"/>
          <w:lang w:val="en-US" w:eastAsia="zh-CN"/>
        </w:rPr>
        <w:t>一是2024年财政对我单位在职人员社保、住房公积金单位缴费部分及离退休公用经费进行了全额保障；二是2024年新增了对我单位退休人员生活补助的保障15万元</w:t>
      </w:r>
      <w:r>
        <w:rPr>
          <w:rFonts w:hint="eastAsia" w:ascii="仿宋_GB2312" w:hAnsi="仿宋" w:eastAsia="仿宋_GB2312" w:cs="仿宋"/>
          <w:color w:val="000000"/>
          <w:sz w:val="32"/>
          <w:szCs w:val="32"/>
          <w:lang w:val="en-US" w:eastAsia="zh-CN"/>
        </w:rPr>
        <w:t>。</w:t>
      </w:r>
    </w:p>
    <w:p w14:paraId="2F29450A">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5E541251">
      <w:pPr>
        <w:bidi w:val="0"/>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891405" cy="3101975"/>
            <wp:effectExtent l="4445" t="4445" r="11430" b="1778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13D94C5">
      <w:pPr>
        <w:spacing w:line="600" w:lineRule="exact"/>
        <w:ind w:firstLine="640" w:firstLineChars="200"/>
        <w:outlineLvl w:val="0"/>
        <w:rPr>
          <w:rStyle w:val="29"/>
          <w:rFonts w:ascii="Times New Roman" w:hAnsi="Times New Roman" w:eastAsia="黑体"/>
          <w:b w:val="0"/>
          <w:color w:val="auto"/>
          <w:highlight w:val="none"/>
        </w:rPr>
      </w:pPr>
      <w:bookmarkStart w:id="24" w:name="_Toc15377209"/>
      <w:bookmarkStart w:id="25"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4"/>
      <w:bookmarkEnd w:id="25"/>
    </w:p>
    <w:p w14:paraId="12D8B486">
      <w:pPr>
        <w:spacing w:line="600" w:lineRule="exact"/>
        <w:ind w:firstLine="643" w:firstLineChars="200"/>
        <w:outlineLvl w:val="1"/>
        <w:rPr>
          <w:rFonts w:hint="eastAsia" w:ascii="Times New Roman" w:hAnsi="Times New Roman" w:eastAsia="楷体_GB2312" w:cs="楷体_GB2312"/>
          <w:b/>
          <w:color w:val="auto"/>
          <w:sz w:val="32"/>
          <w:szCs w:val="32"/>
          <w:highlight w:val="none"/>
        </w:rPr>
      </w:pPr>
      <w:bookmarkStart w:id="26"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6"/>
    </w:p>
    <w:p w14:paraId="21709448">
      <w:pPr>
        <w:ind w:firstLine="709"/>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262.28</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w:t>
      </w:r>
      <w:r>
        <w:rPr>
          <w:rFonts w:hint="eastAsia" w:eastAsia="仿宋_GB2312" w:cs="仿宋_GB2312"/>
          <w:color w:val="auto"/>
          <w:sz w:val="32"/>
          <w:szCs w:val="32"/>
          <w:highlight w:val="none"/>
          <w:lang w:val="en-US" w:eastAsia="zh-CN"/>
        </w:rPr>
        <w:t>115.38</w:t>
      </w:r>
      <w:r>
        <w:rPr>
          <w:rFonts w:hint="eastAsia" w:ascii="仿宋_GB2312" w:hAnsi="仿宋_GB2312" w:eastAsia="仿宋_GB2312" w:cs="仿宋_GB2312"/>
          <w:color w:val="auto"/>
          <w:kern w:val="2"/>
          <w:sz w:val="32"/>
          <w:szCs w:val="32"/>
          <w:highlight w:val="none"/>
          <w:lang w:val="en-US" w:eastAsia="zh-CN" w:bidi="ar-SA"/>
        </w:rPr>
        <w:t>万元，增长</w:t>
      </w:r>
      <w:r>
        <w:rPr>
          <w:rFonts w:hint="eastAsia" w:ascii="仿宋_GB2312" w:hAnsi="仿宋" w:eastAsia="仿宋_GB2312"/>
          <w:sz w:val="32"/>
          <w:szCs w:val="32"/>
          <w:lang w:val="en-US" w:eastAsia="zh-CN"/>
        </w:rPr>
        <w:t>78.5</w:t>
      </w:r>
      <w:r>
        <w:rPr>
          <w:rFonts w:hint="eastAsia" w:ascii="仿宋_GB2312" w:hAnsi="仿宋_GB2312" w:eastAsia="仿宋_GB2312" w:cs="仿宋_GB2312"/>
          <w:color w:val="auto"/>
          <w:kern w:val="2"/>
          <w:sz w:val="32"/>
          <w:szCs w:val="32"/>
          <w:highlight w:val="none"/>
          <w:lang w:val="en-US" w:eastAsia="zh-CN" w:bidi="ar-SA"/>
        </w:rPr>
        <w:t>%。主要变动原因</w:t>
      </w:r>
      <w:r>
        <w:rPr>
          <w:rFonts w:hint="eastAsia" w:ascii="仿宋_GB2312" w:hAnsi="仿宋" w:eastAsia="仿宋_GB2312"/>
          <w:sz w:val="32"/>
          <w:szCs w:val="32"/>
          <w:lang w:val="en-US" w:eastAsia="zh-CN"/>
        </w:rPr>
        <w:t>一是2024年财政对我单位在职人员社保、住房公积金单位缴费部分及离退休公用经费进行了全额保障；二是2024年新增了对我单位退休人员生活补助的保障15万元</w:t>
      </w:r>
      <w:r>
        <w:rPr>
          <w:rFonts w:hint="eastAsia" w:ascii="仿宋_GB2312" w:hAnsi="仿宋" w:eastAsia="仿宋_GB2312" w:cs="仿宋"/>
          <w:color w:val="000000"/>
          <w:sz w:val="32"/>
          <w:szCs w:val="32"/>
          <w:lang w:val="en-US" w:eastAsia="zh-CN"/>
        </w:rPr>
        <w:t>。</w:t>
      </w:r>
    </w:p>
    <w:p w14:paraId="5DF13AD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62A7E1B5">
      <w:pPr>
        <w:bidi w:val="0"/>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993640" cy="3202940"/>
            <wp:effectExtent l="4445" t="4445" r="15875" b="8255"/>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0354CE9">
      <w:pPr>
        <w:spacing w:line="600" w:lineRule="exact"/>
        <w:ind w:firstLine="643" w:firstLineChars="200"/>
        <w:outlineLvl w:val="1"/>
        <w:rPr>
          <w:rFonts w:hint="eastAsia" w:ascii="Times New Roman" w:hAnsi="Times New Roman" w:eastAsia="楷体_GB2312" w:cs="楷体_GB2312"/>
          <w:b/>
          <w:color w:val="auto"/>
          <w:sz w:val="32"/>
          <w:szCs w:val="32"/>
          <w:highlight w:val="none"/>
        </w:rPr>
      </w:pPr>
      <w:bookmarkStart w:id="27"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7"/>
    </w:p>
    <w:p w14:paraId="61138F9C">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262.28</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%；科学技术支出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ascii="仿宋_GB2312" w:hAnsi="仿宋" w:eastAsia="仿宋_GB2312"/>
          <w:color w:val="auto"/>
          <w:sz w:val="32"/>
          <w:szCs w:val="32"/>
          <w:lang w:val="en-US" w:eastAsia="zh-CN"/>
        </w:rPr>
        <w:t>190.49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72.6</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ascii="仿宋_GB2312" w:hAnsi="仿宋" w:eastAsia="仿宋_GB2312"/>
          <w:color w:val="auto"/>
          <w:sz w:val="32"/>
          <w:szCs w:val="32"/>
          <w:lang w:val="en-US" w:eastAsia="zh-CN"/>
        </w:rPr>
        <w:t>30.14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11.5</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ascii="仿宋_GB2312" w:hAnsi="仿宋" w:eastAsia="仿宋_GB2312"/>
          <w:color w:val="auto"/>
          <w:sz w:val="32"/>
          <w:szCs w:val="32"/>
          <w:lang w:val="en-US" w:eastAsia="zh-CN"/>
        </w:rPr>
        <w:t>41.65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15.9</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2733B2E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237C27DF">
      <w:pPr>
        <w:bidi w:val="0"/>
        <w:rPr>
          <w:rFonts w:hint="eastAsia" w:ascii="Times New Roman" w:hAnsi="Times New Roman" w:eastAsia="仿宋_GB2312" w:cs="仿宋_GB2312"/>
          <w:color w:val="auto"/>
          <w:kern w:val="2"/>
          <w:sz w:val="30"/>
          <w:szCs w:val="30"/>
          <w:highlight w:val="none"/>
          <w:lang w:val="en-US" w:eastAsia="zh-CN" w:bidi="ar-SA"/>
        </w:rPr>
      </w:pPr>
      <w:r>
        <w:drawing>
          <wp:inline distT="0" distB="0" distL="114300" distR="114300">
            <wp:extent cx="4954905" cy="3065145"/>
            <wp:effectExtent l="4445" t="4445" r="8890" b="8890"/>
            <wp:docPr id="13" name="图表 12" descr="7b0a202020202263686172745265734964223a202232303437323230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DA78E26">
      <w:pPr>
        <w:spacing w:line="600" w:lineRule="exact"/>
        <w:ind w:firstLine="643" w:firstLineChars="200"/>
        <w:outlineLvl w:val="1"/>
        <w:rPr>
          <w:rFonts w:hint="eastAsia" w:ascii="Times New Roman" w:hAnsi="Times New Roman" w:eastAsia="楷体_GB2312" w:cs="楷体_GB2312"/>
          <w:b/>
          <w:color w:val="auto"/>
          <w:sz w:val="32"/>
          <w:szCs w:val="32"/>
          <w:highlight w:val="none"/>
        </w:rPr>
      </w:pPr>
      <w:bookmarkStart w:id="28"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8"/>
    </w:p>
    <w:p w14:paraId="761EDE9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9" w:name="_Toc15377444"/>
      <w:bookmarkStart w:id="30" w:name="_Toc15378460"/>
      <w:bookmarkStart w:id="31"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262.28</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近100</w:t>
      </w:r>
      <w:r>
        <w:rPr>
          <w:rFonts w:hint="eastAsia" w:ascii="Times New Roman" w:hAnsi="Times New Roman" w:eastAsia="仿宋_GB2312" w:cs="仿宋_GB2312"/>
          <w:color w:val="auto"/>
          <w:kern w:val="2"/>
          <w:sz w:val="32"/>
          <w:szCs w:val="32"/>
          <w:highlight w:val="none"/>
          <w:lang w:val="en-US" w:eastAsia="zh-CN" w:bidi="ar-SA"/>
        </w:rPr>
        <w:t>%。其中：</w:t>
      </w:r>
      <w:bookmarkEnd w:id="29"/>
      <w:bookmarkEnd w:id="30"/>
      <w:bookmarkEnd w:id="31"/>
    </w:p>
    <w:p w14:paraId="43B77F0F">
      <w:pPr>
        <w:numPr>
          <w:ilvl w:val="0"/>
          <w:numId w:val="0"/>
        </w:numPr>
        <w:spacing w:line="600" w:lineRule="exact"/>
        <w:ind w:left="0" w:leftChars="0" w:firstLine="643" w:firstLineChars="200"/>
        <w:outlineLvl w:val="9"/>
        <w:rPr>
          <w:rStyle w:val="17"/>
          <w:rFonts w:hint="eastAsia" w:ascii="仿宋" w:hAnsi="仿宋" w:eastAsia="仿宋"/>
          <w:b w:val="0"/>
          <w:bCs/>
          <w:color w:val="FF0000"/>
          <w:sz w:val="32"/>
          <w:szCs w:val="32"/>
        </w:rPr>
      </w:pPr>
      <w:r>
        <w:rPr>
          <w:rStyle w:val="17"/>
          <w:rFonts w:ascii="仿宋" w:hAnsi="仿宋" w:eastAsia="仿宋"/>
          <w:bCs/>
          <w:color w:val="auto"/>
          <w:sz w:val="32"/>
          <w:szCs w:val="32"/>
          <w:highlight w:val="none"/>
        </w:rPr>
        <w:t>1.</w:t>
      </w:r>
      <w:r>
        <w:rPr>
          <w:rStyle w:val="17"/>
          <w:rFonts w:hint="eastAsia" w:ascii="仿宋" w:hAnsi="仿宋" w:eastAsia="仿宋"/>
          <w:bCs/>
          <w:color w:val="auto"/>
          <w:sz w:val="32"/>
          <w:szCs w:val="32"/>
        </w:rPr>
        <w:t>社会保障和就业（类）行政事业单位养老支出（款）事业单位离退休（项）</w:t>
      </w:r>
      <w:r>
        <w:rPr>
          <w:rStyle w:val="17"/>
          <w:rFonts w:ascii="仿宋" w:hAnsi="仿宋" w:eastAsia="仿宋"/>
          <w:bCs/>
          <w:color w:val="auto"/>
          <w:sz w:val="32"/>
          <w:szCs w:val="32"/>
        </w:rPr>
        <w:t>:</w:t>
      </w:r>
      <w:r>
        <w:rPr>
          <w:rStyle w:val="17"/>
          <w:rFonts w:hint="eastAsia" w:ascii="仿宋" w:hAnsi="仿宋" w:eastAsia="仿宋"/>
          <w:b w:val="0"/>
          <w:bCs/>
          <w:color w:val="auto"/>
          <w:sz w:val="32"/>
          <w:szCs w:val="32"/>
        </w:rPr>
        <w:t>支出决算为</w:t>
      </w:r>
      <w:r>
        <w:rPr>
          <w:rFonts w:hint="eastAsia" w:ascii="仿宋_GB2312" w:hAnsi="仿宋" w:eastAsia="仿宋_GB2312"/>
          <w:sz w:val="32"/>
          <w:szCs w:val="32"/>
          <w:lang w:val="en-US" w:eastAsia="zh-CN"/>
        </w:rPr>
        <w:t>102.03</w:t>
      </w:r>
      <w:r>
        <w:rPr>
          <w:rStyle w:val="17"/>
          <w:rFonts w:hint="eastAsia" w:ascii="仿宋" w:hAnsi="仿宋" w:eastAsia="仿宋"/>
          <w:b w:val="0"/>
          <w:bCs/>
          <w:color w:val="auto"/>
          <w:sz w:val="32"/>
          <w:szCs w:val="32"/>
        </w:rPr>
        <w:t>万元，完成预算</w:t>
      </w:r>
      <w:r>
        <w:rPr>
          <w:rStyle w:val="17"/>
          <w:rFonts w:hint="eastAsia" w:ascii="仿宋" w:hAnsi="仿宋" w:eastAsia="仿宋"/>
          <w:b w:val="0"/>
          <w:bCs/>
          <w:color w:val="auto"/>
          <w:sz w:val="32"/>
          <w:szCs w:val="32"/>
          <w:lang w:val="en-US" w:eastAsia="zh-CN"/>
        </w:rPr>
        <w:t>99.9</w:t>
      </w:r>
      <w:r>
        <w:rPr>
          <w:rStyle w:val="17"/>
          <w:rFonts w:ascii="仿宋" w:hAnsi="仿宋" w:eastAsia="仿宋"/>
          <w:b w:val="0"/>
          <w:bCs/>
          <w:color w:val="auto"/>
          <w:sz w:val="32"/>
          <w:szCs w:val="32"/>
        </w:rPr>
        <w:t>%</w:t>
      </w:r>
      <w:r>
        <w:rPr>
          <w:rStyle w:val="17"/>
          <w:rFonts w:hint="eastAsia" w:ascii="仿宋" w:hAnsi="仿宋" w:eastAsia="仿宋"/>
          <w:b w:val="0"/>
          <w:bCs/>
          <w:color w:val="auto"/>
          <w:sz w:val="32"/>
          <w:szCs w:val="32"/>
          <w:lang w:eastAsia="zh-CN"/>
        </w:rPr>
        <w:t>，</w:t>
      </w:r>
      <w:r>
        <w:rPr>
          <w:rStyle w:val="17"/>
          <w:rFonts w:hint="eastAsia" w:ascii="仿宋" w:hAnsi="仿宋" w:eastAsia="仿宋"/>
          <w:b w:val="0"/>
          <w:bCs/>
          <w:color w:val="auto"/>
          <w:sz w:val="32"/>
          <w:szCs w:val="32"/>
        </w:rPr>
        <w:t>决算数小于预算数的主要原因是据实</w:t>
      </w:r>
      <w:r>
        <w:rPr>
          <w:rStyle w:val="17"/>
          <w:rFonts w:hint="eastAsia" w:ascii="仿宋" w:hAnsi="仿宋" w:eastAsia="仿宋"/>
          <w:b w:val="0"/>
          <w:bCs/>
          <w:color w:val="auto"/>
          <w:sz w:val="32"/>
          <w:szCs w:val="32"/>
          <w:lang w:eastAsia="zh-CN"/>
        </w:rPr>
        <w:t>支出</w:t>
      </w:r>
      <w:r>
        <w:rPr>
          <w:rStyle w:val="17"/>
          <w:rFonts w:hint="eastAsia" w:ascii="仿宋" w:hAnsi="仿宋" w:eastAsia="仿宋"/>
          <w:b w:val="0"/>
          <w:bCs/>
          <w:color w:val="auto"/>
          <w:sz w:val="32"/>
          <w:szCs w:val="32"/>
        </w:rPr>
        <w:t>后正常结余</w:t>
      </w:r>
      <w:r>
        <w:rPr>
          <w:rStyle w:val="17"/>
          <w:rFonts w:hint="eastAsia" w:ascii="仿宋" w:hAnsi="仿宋" w:eastAsia="仿宋"/>
          <w:b w:val="0"/>
          <w:bCs/>
          <w:color w:val="auto"/>
          <w:sz w:val="32"/>
          <w:szCs w:val="32"/>
          <w:lang w:eastAsia="zh-CN"/>
        </w:rPr>
        <w:t>，属预算尾数</w:t>
      </w:r>
      <w:r>
        <w:rPr>
          <w:rStyle w:val="17"/>
          <w:rFonts w:hint="eastAsia" w:ascii="仿宋" w:hAnsi="仿宋" w:eastAsia="仿宋"/>
          <w:b w:val="0"/>
          <w:bCs/>
          <w:color w:val="auto"/>
          <w:sz w:val="32"/>
          <w:szCs w:val="32"/>
        </w:rPr>
        <w:t>。</w:t>
      </w:r>
    </w:p>
    <w:p w14:paraId="5308153A">
      <w:pPr>
        <w:spacing w:line="600" w:lineRule="exact"/>
        <w:ind w:firstLine="643" w:firstLineChars="200"/>
        <w:outlineLvl w:val="9"/>
        <w:rPr>
          <w:rFonts w:ascii="仿宋" w:hAnsi="仿宋" w:eastAsia="仿宋"/>
          <w:color w:val="auto"/>
          <w:sz w:val="32"/>
          <w:szCs w:val="32"/>
        </w:rPr>
      </w:pPr>
      <w:r>
        <w:rPr>
          <w:rStyle w:val="17"/>
          <w:rFonts w:ascii="仿宋" w:hAnsi="仿宋" w:eastAsia="仿宋"/>
          <w:bCs/>
          <w:color w:val="auto"/>
          <w:sz w:val="32"/>
          <w:szCs w:val="32"/>
          <w:highlight w:val="none"/>
        </w:rPr>
        <w:t>2.</w:t>
      </w:r>
      <w:r>
        <w:rPr>
          <w:rStyle w:val="17"/>
          <w:rFonts w:hint="eastAsia" w:ascii="仿宋" w:hAnsi="仿宋" w:eastAsia="仿宋"/>
          <w:bCs/>
          <w:color w:val="auto"/>
          <w:sz w:val="32"/>
          <w:szCs w:val="32"/>
        </w:rPr>
        <w:t>社会保障和就业（类）行政事业单位养老支出（款）机关事业单位基本养老保险缴费支出（项）</w:t>
      </w:r>
      <w:r>
        <w:rPr>
          <w:rStyle w:val="17"/>
          <w:rFonts w:ascii="仿宋" w:hAnsi="仿宋" w:eastAsia="仿宋"/>
          <w:bCs/>
          <w:color w:val="auto"/>
          <w:sz w:val="32"/>
          <w:szCs w:val="32"/>
        </w:rPr>
        <w:t>:</w:t>
      </w:r>
      <w:r>
        <w:rPr>
          <w:rStyle w:val="17"/>
          <w:rFonts w:hint="eastAsia" w:ascii="仿宋" w:hAnsi="仿宋" w:eastAsia="仿宋"/>
          <w:b w:val="0"/>
          <w:bCs/>
          <w:color w:val="auto"/>
          <w:sz w:val="32"/>
          <w:szCs w:val="32"/>
        </w:rPr>
        <w:t>支出决算为</w:t>
      </w:r>
      <w:r>
        <w:rPr>
          <w:rFonts w:hint="eastAsia" w:ascii="仿宋_GB2312" w:hAnsi="仿宋" w:eastAsia="仿宋_GB2312"/>
          <w:sz w:val="32"/>
          <w:szCs w:val="32"/>
          <w:lang w:val="en-US" w:eastAsia="zh-CN"/>
        </w:rPr>
        <w:t>49.71</w:t>
      </w:r>
      <w:r>
        <w:rPr>
          <w:rStyle w:val="17"/>
          <w:rFonts w:hint="eastAsia" w:ascii="仿宋" w:hAnsi="仿宋" w:eastAsia="仿宋"/>
          <w:b w:val="0"/>
          <w:bCs/>
          <w:color w:val="auto"/>
          <w:sz w:val="32"/>
          <w:szCs w:val="32"/>
        </w:rPr>
        <w:t>万元，完成预算100</w:t>
      </w:r>
      <w:r>
        <w:rPr>
          <w:rStyle w:val="17"/>
          <w:rFonts w:ascii="仿宋" w:hAnsi="仿宋" w:eastAsia="仿宋"/>
          <w:b w:val="0"/>
          <w:bCs/>
          <w:color w:val="auto"/>
          <w:sz w:val="32"/>
          <w:szCs w:val="32"/>
        </w:rPr>
        <w:t>%</w:t>
      </w:r>
      <w:r>
        <w:rPr>
          <w:rStyle w:val="17"/>
          <w:rFonts w:hint="eastAsia" w:ascii="仿宋" w:hAnsi="仿宋" w:eastAsia="仿宋"/>
          <w:b w:val="0"/>
          <w:bCs/>
          <w:color w:val="auto"/>
          <w:sz w:val="32"/>
          <w:szCs w:val="32"/>
        </w:rPr>
        <w:t>。</w:t>
      </w:r>
    </w:p>
    <w:p w14:paraId="3DECB17B">
      <w:pPr>
        <w:spacing w:line="600" w:lineRule="exact"/>
        <w:ind w:firstLine="643" w:firstLineChars="200"/>
        <w:rPr>
          <w:rStyle w:val="17"/>
          <w:rFonts w:hint="eastAsia" w:ascii="仿宋" w:hAnsi="仿宋" w:eastAsia="仿宋"/>
          <w:b w:val="0"/>
          <w:bCs/>
          <w:color w:val="auto"/>
          <w:sz w:val="32"/>
          <w:szCs w:val="32"/>
        </w:rPr>
      </w:pPr>
      <w:r>
        <w:rPr>
          <w:rStyle w:val="17"/>
          <w:rFonts w:ascii="仿宋" w:hAnsi="仿宋" w:eastAsia="仿宋"/>
          <w:bCs/>
          <w:color w:val="auto"/>
          <w:sz w:val="32"/>
          <w:szCs w:val="32"/>
          <w:highlight w:val="none"/>
        </w:rPr>
        <w:t>3.</w:t>
      </w:r>
      <w:r>
        <w:rPr>
          <w:rStyle w:val="17"/>
          <w:rFonts w:hint="eastAsia" w:ascii="仿宋" w:hAnsi="仿宋" w:eastAsia="仿宋"/>
          <w:bCs/>
          <w:color w:val="auto"/>
          <w:sz w:val="32"/>
          <w:szCs w:val="32"/>
        </w:rPr>
        <w:t>社会保障和就业（类）行政事业单位养老支出（款）事机关事业单位职业年金缴费支出（项）</w:t>
      </w:r>
      <w:r>
        <w:rPr>
          <w:rStyle w:val="17"/>
          <w:rFonts w:ascii="仿宋" w:hAnsi="仿宋" w:eastAsia="仿宋"/>
          <w:bCs/>
          <w:color w:val="auto"/>
          <w:sz w:val="32"/>
          <w:szCs w:val="32"/>
        </w:rPr>
        <w:t>:</w:t>
      </w:r>
      <w:r>
        <w:rPr>
          <w:rStyle w:val="17"/>
          <w:rFonts w:hint="eastAsia" w:ascii="仿宋" w:hAnsi="仿宋" w:eastAsia="仿宋"/>
          <w:b w:val="0"/>
          <w:bCs/>
          <w:color w:val="auto"/>
          <w:sz w:val="32"/>
          <w:szCs w:val="32"/>
        </w:rPr>
        <w:t>支出决算为</w:t>
      </w:r>
      <w:r>
        <w:rPr>
          <w:rFonts w:hint="eastAsia" w:ascii="仿宋_GB2312" w:hAnsi="仿宋" w:eastAsia="仿宋_GB2312"/>
          <w:sz w:val="32"/>
          <w:szCs w:val="32"/>
          <w:lang w:val="en-US" w:eastAsia="zh-CN"/>
        </w:rPr>
        <w:t>24.86</w:t>
      </w:r>
      <w:r>
        <w:rPr>
          <w:rStyle w:val="17"/>
          <w:rFonts w:hint="eastAsia" w:ascii="仿宋" w:hAnsi="仿宋" w:eastAsia="仿宋"/>
          <w:b w:val="0"/>
          <w:bCs/>
          <w:color w:val="auto"/>
          <w:sz w:val="32"/>
          <w:szCs w:val="32"/>
        </w:rPr>
        <w:t>万元，完成预算100</w:t>
      </w:r>
      <w:r>
        <w:rPr>
          <w:rStyle w:val="17"/>
          <w:rFonts w:ascii="仿宋" w:hAnsi="仿宋" w:eastAsia="仿宋"/>
          <w:b w:val="0"/>
          <w:bCs/>
          <w:color w:val="auto"/>
          <w:sz w:val="32"/>
          <w:szCs w:val="32"/>
        </w:rPr>
        <w:t>%</w:t>
      </w:r>
      <w:r>
        <w:rPr>
          <w:rStyle w:val="17"/>
          <w:rFonts w:hint="eastAsia" w:ascii="仿宋" w:hAnsi="仿宋" w:eastAsia="仿宋"/>
          <w:b w:val="0"/>
          <w:bCs/>
          <w:color w:val="auto"/>
          <w:sz w:val="32"/>
          <w:szCs w:val="32"/>
        </w:rPr>
        <w:t>。</w:t>
      </w:r>
    </w:p>
    <w:p w14:paraId="258E1A40">
      <w:pPr>
        <w:numPr>
          <w:ilvl w:val="0"/>
          <w:numId w:val="0"/>
        </w:numPr>
        <w:spacing w:line="600" w:lineRule="exact"/>
        <w:ind w:left="0" w:leftChars="0" w:firstLine="643" w:firstLineChars="200"/>
        <w:outlineLvl w:val="9"/>
        <w:rPr>
          <w:rStyle w:val="17"/>
          <w:rFonts w:hint="eastAsia" w:ascii="仿宋" w:hAnsi="仿宋" w:eastAsia="仿宋"/>
          <w:b w:val="0"/>
          <w:bCs/>
          <w:color w:val="FF0000"/>
          <w:sz w:val="32"/>
          <w:szCs w:val="32"/>
        </w:rPr>
      </w:pPr>
      <w:r>
        <w:rPr>
          <w:rStyle w:val="17"/>
          <w:rFonts w:ascii="仿宋" w:hAnsi="仿宋" w:eastAsia="仿宋"/>
          <w:bCs/>
          <w:color w:val="auto"/>
          <w:sz w:val="32"/>
          <w:szCs w:val="32"/>
          <w:highlight w:val="none"/>
        </w:rPr>
        <w:t>4.</w:t>
      </w:r>
      <w:r>
        <w:rPr>
          <w:rStyle w:val="17"/>
          <w:rFonts w:hint="eastAsia" w:ascii="仿宋" w:hAnsi="仿宋" w:eastAsia="仿宋"/>
          <w:bCs/>
          <w:color w:val="auto"/>
          <w:sz w:val="32"/>
          <w:szCs w:val="32"/>
        </w:rPr>
        <w:t>社会保障和就业（类）其他社会保障和就业支出（款）其他社会保障和就业支出（项）</w:t>
      </w:r>
      <w:r>
        <w:rPr>
          <w:rStyle w:val="17"/>
          <w:rFonts w:ascii="仿宋" w:hAnsi="仿宋" w:eastAsia="仿宋"/>
          <w:bCs/>
          <w:color w:val="auto"/>
          <w:sz w:val="32"/>
          <w:szCs w:val="32"/>
        </w:rPr>
        <w:t>:</w:t>
      </w:r>
      <w:r>
        <w:rPr>
          <w:rStyle w:val="17"/>
          <w:rFonts w:hint="eastAsia" w:ascii="仿宋" w:hAnsi="仿宋" w:eastAsia="仿宋"/>
          <w:b w:val="0"/>
          <w:bCs/>
          <w:color w:val="auto"/>
          <w:sz w:val="32"/>
          <w:szCs w:val="32"/>
        </w:rPr>
        <w:t>支出决算为</w:t>
      </w:r>
      <w:r>
        <w:rPr>
          <w:rFonts w:hint="eastAsia" w:ascii="仿宋_GB2312" w:hAnsi="仿宋" w:eastAsia="仿宋_GB2312"/>
          <w:sz w:val="32"/>
          <w:szCs w:val="32"/>
          <w:lang w:val="en-US" w:eastAsia="zh-CN"/>
        </w:rPr>
        <w:t>13.89</w:t>
      </w:r>
      <w:r>
        <w:rPr>
          <w:rStyle w:val="17"/>
          <w:rFonts w:hint="eastAsia" w:ascii="仿宋" w:hAnsi="仿宋" w:eastAsia="仿宋"/>
          <w:b w:val="0"/>
          <w:bCs/>
          <w:color w:val="auto"/>
          <w:sz w:val="32"/>
          <w:szCs w:val="32"/>
        </w:rPr>
        <w:t>万元，完成预算</w:t>
      </w:r>
      <w:r>
        <w:rPr>
          <w:rStyle w:val="17"/>
          <w:rFonts w:hint="eastAsia" w:ascii="仿宋" w:hAnsi="仿宋" w:eastAsia="仿宋"/>
          <w:b w:val="0"/>
          <w:bCs/>
          <w:color w:val="auto"/>
          <w:sz w:val="32"/>
          <w:szCs w:val="32"/>
          <w:lang w:val="en-US" w:eastAsia="zh-CN"/>
        </w:rPr>
        <w:t>99.9</w:t>
      </w:r>
      <w:r>
        <w:rPr>
          <w:rStyle w:val="17"/>
          <w:rFonts w:ascii="仿宋" w:hAnsi="仿宋" w:eastAsia="仿宋"/>
          <w:b w:val="0"/>
          <w:bCs/>
          <w:color w:val="auto"/>
          <w:sz w:val="32"/>
          <w:szCs w:val="32"/>
        </w:rPr>
        <w:t>%</w:t>
      </w:r>
      <w:r>
        <w:rPr>
          <w:rStyle w:val="17"/>
          <w:rFonts w:hint="eastAsia" w:ascii="仿宋" w:hAnsi="仿宋" w:eastAsia="仿宋"/>
          <w:b w:val="0"/>
          <w:bCs/>
          <w:color w:val="auto"/>
          <w:sz w:val="32"/>
          <w:szCs w:val="32"/>
          <w:lang w:eastAsia="zh-CN"/>
        </w:rPr>
        <w:t>，</w:t>
      </w:r>
      <w:r>
        <w:rPr>
          <w:rStyle w:val="17"/>
          <w:rFonts w:hint="eastAsia" w:ascii="仿宋" w:hAnsi="仿宋" w:eastAsia="仿宋"/>
          <w:b w:val="0"/>
          <w:bCs/>
          <w:color w:val="auto"/>
          <w:sz w:val="32"/>
          <w:szCs w:val="32"/>
        </w:rPr>
        <w:t>决算数小于预算数的主要原因是据实</w:t>
      </w:r>
      <w:r>
        <w:rPr>
          <w:rStyle w:val="17"/>
          <w:rFonts w:hint="eastAsia" w:ascii="仿宋" w:hAnsi="仿宋" w:eastAsia="仿宋"/>
          <w:b w:val="0"/>
          <w:bCs/>
          <w:color w:val="auto"/>
          <w:sz w:val="32"/>
          <w:szCs w:val="32"/>
          <w:lang w:eastAsia="zh-CN"/>
        </w:rPr>
        <w:t>支出</w:t>
      </w:r>
      <w:r>
        <w:rPr>
          <w:rStyle w:val="17"/>
          <w:rFonts w:hint="eastAsia" w:ascii="仿宋" w:hAnsi="仿宋" w:eastAsia="仿宋"/>
          <w:b w:val="0"/>
          <w:bCs/>
          <w:color w:val="auto"/>
          <w:sz w:val="32"/>
          <w:szCs w:val="32"/>
        </w:rPr>
        <w:t>后正常结余</w:t>
      </w:r>
      <w:r>
        <w:rPr>
          <w:rStyle w:val="17"/>
          <w:rFonts w:hint="eastAsia" w:ascii="仿宋" w:hAnsi="仿宋" w:eastAsia="仿宋"/>
          <w:b w:val="0"/>
          <w:bCs/>
          <w:color w:val="auto"/>
          <w:sz w:val="32"/>
          <w:szCs w:val="32"/>
          <w:lang w:eastAsia="zh-CN"/>
        </w:rPr>
        <w:t>，属预算尾数</w:t>
      </w:r>
      <w:r>
        <w:rPr>
          <w:rStyle w:val="17"/>
          <w:rFonts w:hint="eastAsia" w:ascii="仿宋" w:hAnsi="仿宋" w:eastAsia="仿宋"/>
          <w:b w:val="0"/>
          <w:bCs/>
          <w:color w:val="auto"/>
          <w:sz w:val="32"/>
          <w:szCs w:val="32"/>
        </w:rPr>
        <w:t>。</w:t>
      </w:r>
    </w:p>
    <w:p w14:paraId="151D5C50">
      <w:pPr>
        <w:spacing w:line="600" w:lineRule="exact"/>
        <w:ind w:firstLine="643" w:firstLineChars="200"/>
        <w:rPr>
          <w:rStyle w:val="17"/>
          <w:rFonts w:hint="eastAsia" w:ascii="仿宋" w:hAnsi="仿宋" w:eastAsia="仿宋"/>
          <w:b w:val="0"/>
          <w:bCs/>
          <w:color w:val="auto"/>
          <w:sz w:val="32"/>
          <w:szCs w:val="32"/>
        </w:rPr>
      </w:pPr>
      <w:r>
        <w:rPr>
          <w:rStyle w:val="17"/>
          <w:rFonts w:ascii="仿宋" w:hAnsi="仿宋" w:eastAsia="仿宋"/>
          <w:bCs/>
          <w:color w:val="auto"/>
          <w:sz w:val="32"/>
          <w:szCs w:val="32"/>
          <w:highlight w:val="none"/>
        </w:rPr>
        <w:t>5.</w:t>
      </w:r>
      <w:r>
        <w:rPr>
          <w:rFonts w:hint="eastAsia" w:ascii="仿宋" w:hAnsi="仿宋" w:eastAsia="仿宋"/>
          <w:b/>
          <w:bCs/>
          <w:color w:val="auto"/>
          <w:sz w:val="32"/>
          <w:szCs w:val="32"/>
        </w:rPr>
        <w:t>卫生健康</w:t>
      </w:r>
      <w:r>
        <w:rPr>
          <w:rStyle w:val="17"/>
          <w:rFonts w:hint="eastAsia" w:ascii="仿宋" w:hAnsi="仿宋" w:eastAsia="仿宋"/>
          <w:bCs/>
          <w:color w:val="auto"/>
          <w:sz w:val="32"/>
          <w:szCs w:val="32"/>
        </w:rPr>
        <w:t>（类）行政事业单位医疗（款）事业单位医疗（项）</w:t>
      </w:r>
      <w:r>
        <w:rPr>
          <w:rStyle w:val="17"/>
          <w:rFonts w:hint="eastAsia" w:ascii="仿宋" w:hAnsi="仿宋" w:eastAsia="仿宋"/>
          <w:bCs/>
          <w:color w:val="auto"/>
          <w:sz w:val="32"/>
          <w:szCs w:val="32"/>
          <w:lang w:eastAsia="zh-CN"/>
        </w:rPr>
        <w:t>：</w:t>
      </w:r>
      <w:r>
        <w:rPr>
          <w:rStyle w:val="17"/>
          <w:rFonts w:hint="eastAsia" w:ascii="仿宋" w:hAnsi="仿宋" w:eastAsia="仿宋"/>
          <w:b w:val="0"/>
          <w:bCs/>
          <w:color w:val="auto"/>
          <w:sz w:val="32"/>
          <w:szCs w:val="32"/>
        </w:rPr>
        <w:t>支出决算为</w:t>
      </w:r>
      <w:r>
        <w:rPr>
          <w:rFonts w:hint="eastAsia" w:ascii="仿宋_GB2312" w:hAnsi="仿宋" w:eastAsia="仿宋_GB2312"/>
          <w:sz w:val="32"/>
          <w:szCs w:val="32"/>
          <w:lang w:val="en-US" w:eastAsia="zh-CN"/>
        </w:rPr>
        <w:t>30.14</w:t>
      </w:r>
      <w:r>
        <w:rPr>
          <w:rStyle w:val="17"/>
          <w:rFonts w:hint="eastAsia" w:ascii="仿宋" w:hAnsi="仿宋" w:eastAsia="仿宋"/>
          <w:b w:val="0"/>
          <w:bCs/>
          <w:color w:val="auto"/>
          <w:sz w:val="32"/>
          <w:szCs w:val="32"/>
        </w:rPr>
        <w:t>万元，完成预算100</w:t>
      </w:r>
      <w:r>
        <w:rPr>
          <w:rStyle w:val="17"/>
          <w:rFonts w:ascii="仿宋" w:hAnsi="仿宋" w:eastAsia="仿宋"/>
          <w:b w:val="0"/>
          <w:bCs/>
          <w:color w:val="auto"/>
          <w:sz w:val="32"/>
          <w:szCs w:val="32"/>
        </w:rPr>
        <w:t>%</w:t>
      </w:r>
      <w:r>
        <w:rPr>
          <w:rStyle w:val="17"/>
          <w:rFonts w:hint="eastAsia" w:ascii="仿宋" w:hAnsi="仿宋" w:eastAsia="仿宋"/>
          <w:b w:val="0"/>
          <w:bCs/>
          <w:color w:val="auto"/>
          <w:sz w:val="32"/>
          <w:szCs w:val="32"/>
        </w:rPr>
        <w:t>。</w:t>
      </w:r>
    </w:p>
    <w:p w14:paraId="5DBE55AF">
      <w:pPr>
        <w:spacing w:line="600" w:lineRule="exact"/>
        <w:ind w:firstLine="643" w:firstLineChars="200"/>
        <w:rPr>
          <w:rStyle w:val="17"/>
          <w:rFonts w:hint="eastAsia" w:ascii="仿宋" w:hAnsi="仿宋" w:eastAsia="仿宋"/>
          <w:b w:val="0"/>
          <w:bCs/>
          <w:color w:val="FF0000"/>
          <w:sz w:val="32"/>
          <w:szCs w:val="32"/>
        </w:rPr>
      </w:pPr>
      <w:r>
        <w:rPr>
          <w:rStyle w:val="17"/>
          <w:rFonts w:ascii="仿宋" w:hAnsi="仿宋" w:eastAsia="仿宋"/>
          <w:bCs/>
          <w:color w:val="auto"/>
          <w:sz w:val="32"/>
          <w:szCs w:val="32"/>
          <w:highlight w:val="none"/>
        </w:rPr>
        <w:t>6.</w:t>
      </w:r>
      <w:r>
        <w:rPr>
          <w:rFonts w:hint="eastAsia" w:ascii="仿宋" w:hAnsi="仿宋" w:eastAsia="仿宋"/>
          <w:b/>
          <w:bCs/>
          <w:color w:val="auto"/>
          <w:sz w:val="32"/>
          <w:szCs w:val="32"/>
        </w:rPr>
        <w:t>住房保障</w:t>
      </w:r>
      <w:r>
        <w:rPr>
          <w:rStyle w:val="17"/>
          <w:rFonts w:hint="eastAsia" w:ascii="仿宋" w:hAnsi="仿宋" w:eastAsia="仿宋"/>
          <w:bCs/>
          <w:color w:val="auto"/>
          <w:sz w:val="32"/>
          <w:szCs w:val="32"/>
        </w:rPr>
        <w:t>（类）住房改革</w:t>
      </w:r>
      <w:r>
        <w:rPr>
          <w:rStyle w:val="17"/>
          <w:rFonts w:hint="eastAsia" w:ascii="仿宋" w:hAnsi="仿宋" w:eastAsia="仿宋"/>
          <w:bCs/>
          <w:color w:val="auto"/>
          <w:sz w:val="32"/>
          <w:szCs w:val="32"/>
          <w:lang w:eastAsia="zh-CN"/>
        </w:rPr>
        <w:t>支出</w:t>
      </w:r>
      <w:r>
        <w:rPr>
          <w:rStyle w:val="17"/>
          <w:rFonts w:hint="eastAsia" w:ascii="仿宋" w:hAnsi="仿宋" w:eastAsia="仿宋"/>
          <w:bCs/>
          <w:color w:val="auto"/>
          <w:sz w:val="32"/>
          <w:szCs w:val="32"/>
        </w:rPr>
        <w:t>（款）住房公积金（项）</w:t>
      </w:r>
      <w:r>
        <w:rPr>
          <w:rStyle w:val="17"/>
          <w:rFonts w:hint="eastAsia" w:ascii="仿宋" w:hAnsi="仿宋" w:eastAsia="仿宋"/>
          <w:b w:val="0"/>
          <w:bCs/>
          <w:color w:val="auto"/>
          <w:sz w:val="32"/>
          <w:szCs w:val="32"/>
          <w:highlight w:val="none"/>
        </w:rPr>
        <w:t>，</w:t>
      </w:r>
      <w:r>
        <w:rPr>
          <w:rStyle w:val="17"/>
          <w:rFonts w:hint="eastAsia" w:ascii="仿宋" w:hAnsi="仿宋" w:eastAsia="仿宋"/>
          <w:b w:val="0"/>
          <w:bCs/>
          <w:color w:val="auto"/>
          <w:sz w:val="32"/>
          <w:szCs w:val="32"/>
        </w:rPr>
        <w:t>支出决算为</w:t>
      </w:r>
      <w:r>
        <w:rPr>
          <w:rFonts w:hint="eastAsia" w:ascii="仿宋_GB2312" w:hAnsi="仿宋" w:eastAsia="仿宋_GB2312"/>
          <w:sz w:val="32"/>
          <w:szCs w:val="32"/>
          <w:lang w:val="en-US" w:eastAsia="zh-CN"/>
        </w:rPr>
        <w:t>41.65</w:t>
      </w:r>
      <w:r>
        <w:rPr>
          <w:rStyle w:val="17"/>
          <w:rFonts w:hint="eastAsia" w:ascii="仿宋" w:hAnsi="仿宋" w:eastAsia="仿宋"/>
          <w:b w:val="0"/>
          <w:bCs/>
          <w:color w:val="auto"/>
          <w:sz w:val="32"/>
          <w:szCs w:val="32"/>
        </w:rPr>
        <w:t>万元，完成预算100</w:t>
      </w:r>
      <w:r>
        <w:rPr>
          <w:rStyle w:val="17"/>
          <w:rFonts w:ascii="仿宋" w:hAnsi="仿宋" w:eastAsia="仿宋"/>
          <w:b w:val="0"/>
          <w:bCs/>
          <w:color w:val="auto"/>
          <w:sz w:val="32"/>
          <w:szCs w:val="32"/>
        </w:rPr>
        <w:t>%</w:t>
      </w:r>
      <w:r>
        <w:rPr>
          <w:rStyle w:val="17"/>
          <w:rFonts w:hint="eastAsia" w:ascii="仿宋" w:hAnsi="仿宋" w:eastAsia="仿宋"/>
          <w:b w:val="0"/>
          <w:bCs/>
          <w:color w:val="auto"/>
          <w:sz w:val="32"/>
          <w:szCs w:val="32"/>
        </w:rPr>
        <w:t>。</w:t>
      </w:r>
    </w:p>
    <w:p w14:paraId="53791ADA">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5E0FA173">
      <w:pPr>
        <w:tabs>
          <w:tab w:val="right" w:pos="8306"/>
        </w:tabs>
        <w:spacing w:line="600" w:lineRule="exact"/>
        <w:ind w:firstLine="640" w:firstLineChars="0"/>
        <w:outlineLvl w:val="0"/>
        <w:rPr>
          <w:rStyle w:val="29"/>
          <w:rFonts w:ascii="Times New Roman" w:hAnsi="Times New Roman"/>
          <w:color w:val="auto"/>
          <w:highlight w:val="none"/>
        </w:rPr>
      </w:pPr>
      <w:bookmarkStart w:id="32" w:name="_Toc15396608"/>
      <w:bookmarkStart w:id="33"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32"/>
      <w:bookmarkEnd w:id="33"/>
      <w:r>
        <w:rPr>
          <w:rStyle w:val="29"/>
          <w:rFonts w:ascii="Times New Roman" w:hAnsi="Times New Roman" w:eastAsia="黑体"/>
          <w:b w:val="0"/>
          <w:color w:val="auto"/>
          <w:highlight w:val="none"/>
        </w:rPr>
        <w:tab/>
      </w:r>
    </w:p>
    <w:p w14:paraId="22EF7CF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262.28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3647E04A">
      <w:pPr>
        <w:spacing w:line="600" w:lineRule="exact"/>
        <w:ind w:firstLine="645"/>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258.06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元，主要包括：机关事业单位基本养老保险缴费、职业年金缴费、其他社会保障缴费、</w:t>
      </w:r>
      <w:r>
        <w:rPr>
          <w:rFonts w:hint="eastAsia" w:ascii="仿宋" w:hAnsi="仿宋" w:eastAsia="仿宋"/>
          <w:color w:val="auto"/>
          <w:sz w:val="32"/>
          <w:szCs w:val="32"/>
          <w:highlight w:val="none"/>
          <w:lang w:eastAsia="zh-CN"/>
        </w:rPr>
        <w:t>事业单位医疗</w:t>
      </w:r>
      <w:r>
        <w:rPr>
          <w:rFonts w:hint="eastAsia" w:ascii="Times New Roman" w:hAnsi="Times New Roman" w:eastAsia="仿宋_GB2312" w:cs="仿宋_GB2312"/>
          <w:color w:val="auto"/>
          <w:kern w:val="2"/>
          <w:sz w:val="32"/>
          <w:szCs w:val="32"/>
          <w:highlight w:val="none"/>
          <w:lang w:val="en-US" w:eastAsia="zh-CN" w:bidi="ar-SA"/>
        </w:rPr>
        <w:t>、离休费、住房公积金、其他对个人和家庭的补助支出等。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eastAsia="仿宋_GB2312" w:cs="仿宋_GB2312"/>
          <w:color w:val="auto"/>
          <w:kern w:val="2"/>
          <w:sz w:val="32"/>
          <w:szCs w:val="32"/>
          <w:highlight w:val="none"/>
          <w:lang w:val="en-US" w:eastAsia="zh-CN" w:bidi="ar-SA"/>
        </w:rPr>
        <w:t xml:space="preserve">    </w:t>
      </w:r>
      <w:r>
        <w:rPr>
          <w:rFonts w:hint="eastAsia" w:ascii="Times New Roman" w:hAnsi="Times New Roman" w:eastAsia="仿宋_GB2312" w:cs="仿宋_GB2312"/>
          <w:color w:val="auto"/>
          <w:kern w:val="2"/>
          <w:sz w:val="32"/>
          <w:szCs w:val="32"/>
          <w:highlight w:val="none"/>
          <w:lang w:val="en-US" w:eastAsia="zh-CN" w:bidi="ar-SA"/>
        </w:rPr>
        <w:t>公用经费</w:t>
      </w:r>
      <w:r>
        <w:rPr>
          <w:rFonts w:hint="eastAsia" w:ascii="仿宋_GB2312" w:hAnsi="仿宋_GB2312" w:eastAsia="仿宋_GB2312" w:cs="仿宋_GB2312"/>
          <w:sz w:val="32"/>
          <w:szCs w:val="32"/>
        </w:rPr>
        <w:t>4.22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ascii="仿宋" w:hAnsi="仿宋" w:eastAsia="仿宋"/>
          <w:color w:val="auto"/>
          <w:sz w:val="32"/>
          <w:szCs w:val="32"/>
          <w:highlight w:val="none"/>
        </w:rPr>
        <w:t>为其他商品和服务支出（离退休公用经费）。</w:t>
      </w:r>
    </w:p>
    <w:p w14:paraId="140F4A9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80B3526">
      <w:pPr>
        <w:spacing w:line="600" w:lineRule="exact"/>
        <w:ind w:firstLine="640" w:firstLineChars="0"/>
        <w:outlineLvl w:val="0"/>
        <w:rPr>
          <w:rStyle w:val="29"/>
          <w:rFonts w:ascii="Times New Roman" w:hAnsi="Times New Roman" w:eastAsia="黑体"/>
          <w:b w:val="0"/>
          <w:color w:val="auto"/>
          <w:highlight w:val="none"/>
        </w:rPr>
      </w:pPr>
      <w:bookmarkStart w:id="34" w:name="_Toc15396609"/>
      <w:bookmarkStart w:id="35" w:name="_Toc15377215"/>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4"/>
      <w:bookmarkEnd w:id="35"/>
    </w:p>
    <w:p w14:paraId="52C0BED5">
      <w:pPr>
        <w:spacing w:line="600" w:lineRule="exact"/>
        <w:ind w:firstLine="643" w:firstLineChars="200"/>
        <w:outlineLvl w:val="1"/>
        <w:rPr>
          <w:rFonts w:hint="eastAsia" w:ascii="Times New Roman" w:hAnsi="Times New Roman" w:eastAsia="楷体_GB2312" w:cs="楷体_GB2312"/>
          <w:b/>
          <w:color w:val="auto"/>
          <w:sz w:val="32"/>
          <w:szCs w:val="32"/>
          <w:highlight w:val="none"/>
        </w:rPr>
      </w:pPr>
      <w:bookmarkStart w:id="36"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6"/>
    </w:p>
    <w:p w14:paraId="1C0C9A90">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w:t>
      </w:r>
      <w:r>
        <w:rPr>
          <w:rFonts w:hint="eastAsia" w:ascii="仿宋" w:hAnsi="仿宋" w:eastAsia="仿宋"/>
          <w:color w:val="auto"/>
          <w:sz w:val="32"/>
          <w:szCs w:val="32"/>
          <w:highlight w:val="none"/>
          <w:lang w:eastAsia="zh-CN"/>
        </w:rPr>
        <w:t>无增减变化</w:t>
      </w:r>
      <w:r>
        <w:rPr>
          <w:rFonts w:hint="eastAsia" w:ascii="仿宋" w:hAnsi="仿宋" w:eastAsia="仿宋"/>
          <w:color w:val="auto"/>
          <w:sz w:val="32"/>
          <w:szCs w:val="32"/>
          <w:highlight w:val="none"/>
        </w:rPr>
        <w:t>。</w:t>
      </w:r>
    </w:p>
    <w:p w14:paraId="7981C7FC">
      <w:pPr>
        <w:spacing w:line="600" w:lineRule="exact"/>
        <w:ind w:firstLine="643" w:firstLineChars="200"/>
        <w:outlineLvl w:val="1"/>
        <w:rPr>
          <w:rFonts w:hint="eastAsia" w:ascii="Times New Roman" w:hAnsi="Times New Roman" w:eastAsia="楷体_GB2312" w:cs="楷体_GB2312"/>
          <w:b/>
          <w:color w:val="auto"/>
          <w:sz w:val="32"/>
          <w:szCs w:val="32"/>
          <w:highlight w:val="none"/>
        </w:rPr>
      </w:pPr>
      <w:bookmarkStart w:id="37"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7"/>
    </w:p>
    <w:p w14:paraId="1119737E">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2D4C4B5D">
      <w:pPr>
        <w:numPr>
          <w:ilvl w:val="0"/>
          <w:numId w:val="0"/>
        </w:numPr>
        <w:spacing w:line="600" w:lineRule="exact"/>
        <w:ind w:firstLine="640" w:firstLineChars="0"/>
        <w:rPr>
          <w:rFonts w:hint="eastAsia" w:ascii="仿宋_GB2312" w:eastAsia="仿宋_GB2312"/>
          <w:color w:val="auto"/>
          <w:sz w:val="32"/>
          <w:szCs w:val="32"/>
          <w:highlight w:val="none"/>
        </w:rPr>
      </w:pPr>
      <w:r>
        <w:rPr>
          <w:rFonts w:hint="eastAsia" w:ascii="仿宋_GB2312" w:hAnsi="Times New Roman" w:eastAsia="仿宋_GB2312" w:cs="Times New Roman"/>
          <w:color w:val="auto"/>
          <w:kern w:val="2"/>
          <w:sz w:val="32"/>
          <w:szCs w:val="32"/>
          <w:lang w:val="en-US" w:eastAsia="zh-CN" w:bidi="ar-SA"/>
        </w:rPr>
        <w:t>1.</w:t>
      </w:r>
      <w:r>
        <w:rPr>
          <w:rFonts w:hint="eastAsia" w:ascii="Times New Roman" w:hAnsi="Times New Roman" w:eastAsia="仿宋_GB2312" w:cs="仿宋_GB2312"/>
          <w:b/>
          <w:bCs/>
          <w:color w:val="auto"/>
          <w:kern w:val="2"/>
          <w:sz w:val="32"/>
          <w:szCs w:val="32"/>
          <w:highlight w:val="none"/>
          <w:lang w:val="en-US" w:eastAsia="zh-CN" w:bidi="ar-SA"/>
        </w:rPr>
        <w:t>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w:t>
      </w:r>
      <w:r>
        <w:rPr>
          <w:rFonts w:hint="eastAsia" w:eastAsia="仿宋_GB2312" w:cs="仿宋_GB2312"/>
          <w:color w:val="auto"/>
          <w:kern w:val="2"/>
          <w:sz w:val="32"/>
          <w:szCs w:val="32"/>
          <w:highlight w:val="none"/>
          <w:lang w:val="en-US" w:eastAsia="zh-CN" w:bidi="ar-SA"/>
        </w:rPr>
        <w:t>较</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ascii="仿宋_GB2312" w:eastAsia="仿宋_GB2312"/>
          <w:color w:val="auto"/>
          <w:sz w:val="32"/>
          <w:szCs w:val="32"/>
          <w:highlight w:val="none"/>
          <w:lang w:eastAsia="zh-CN"/>
        </w:rPr>
        <w:t>无增减变化</w:t>
      </w:r>
      <w:r>
        <w:rPr>
          <w:rFonts w:hint="eastAsia" w:ascii="仿宋_GB2312" w:eastAsia="仿宋_GB2312"/>
          <w:color w:val="auto"/>
          <w:sz w:val="32"/>
          <w:szCs w:val="32"/>
          <w:highlight w:val="none"/>
        </w:rPr>
        <w:t>。</w:t>
      </w:r>
    </w:p>
    <w:p w14:paraId="1D1B7029">
      <w:pPr>
        <w:numPr>
          <w:ilvl w:val="0"/>
          <w:numId w:val="0"/>
        </w:numPr>
        <w:spacing w:line="600" w:lineRule="exact"/>
        <w:ind w:firstLine="640" w:firstLineChars="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lang w:val="en-US" w:eastAsia="zh-CN" w:bidi="ar-SA"/>
        </w:rPr>
        <w:t>2.</w:t>
      </w:r>
      <w:r>
        <w:rPr>
          <w:rFonts w:hint="eastAsia" w:ascii="Times New Roman" w:hAnsi="Times New Roman" w:eastAsia="仿宋_GB2312" w:cs="仿宋_GB2312"/>
          <w:b/>
          <w:bCs/>
          <w:color w:val="auto"/>
          <w:kern w:val="2"/>
          <w:sz w:val="32"/>
          <w:szCs w:val="32"/>
          <w:highlight w:val="none"/>
          <w:lang w:val="en-US" w:eastAsia="zh-CN" w:bidi="ar-SA"/>
        </w:rPr>
        <w:t>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较</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ascii="仿宋_GB2312" w:eastAsia="仿宋_GB2312"/>
          <w:color w:val="auto"/>
          <w:sz w:val="32"/>
          <w:szCs w:val="32"/>
          <w:highlight w:val="none"/>
          <w:lang w:eastAsia="zh-CN"/>
        </w:rPr>
        <w:t>无增减变化</w:t>
      </w:r>
      <w:r>
        <w:rPr>
          <w:rFonts w:hint="eastAsia" w:ascii="仿宋_GB2312" w:eastAsia="仿宋_GB2312"/>
          <w:color w:val="auto"/>
          <w:sz w:val="32"/>
          <w:szCs w:val="32"/>
          <w:highlight w:val="none"/>
        </w:rPr>
        <w:t>。</w:t>
      </w:r>
    </w:p>
    <w:p w14:paraId="2333B4C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59507FC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14:paraId="63E64D8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b w:val="0"/>
          <w:bCs w:val="0"/>
          <w:color w:val="auto"/>
          <w:kern w:val="2"/>
          <w:sz w:val="32"/>
          <w:szCs w:val="32"/>
          <w:highlight w:val="none"/>
          <w:lang w:val="en-US" w:eastAsia="zh-CN" w:bidi="ar-SA"/>
        </w:rPr>
        <w:t>3.</w:t>
      </w:r>
      <w:r>
        <w:rPr>
          <w:rFonts w:hint="eastAsia" w:ascii="Times New Roman" w:hAnsi="Times New Roman" w:eastAsia="仿宋_GB2312" w:cs="仿宋_GB2312"/>
          <w:b/>
          <w:bCs/>
          <w:color w:val="auto"/>
          <w:kern w:val="2"/>
          <w:sz w:val="32"/>
          <w:szCs w:val="32"/>
          <w:highlight w:val="none"/>
          <w:lang w:val="en-US" w:eastAsia="zh-CN" w:bidi="ar-SA"/>
        </w:rPr>
        <w:t>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较</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ascii="仿宋_GB2312" w:eastAsia="仿宋_GB2312"/>
          <w:color w:val="auto"/>
          <w:sz w:val="32"/>
          <w:szCs w:val="32"/>
          <w:highlight w:val="none"/>
          <w:lang w:eastAsia="zh-CN"/>
        </w:rPr>
        <w:t>无增减变化</w:t>
      </w:r>
      <w:r>
        <w:rPr>
          <w:rFonts w:hint="eastAsia" w:ascii="仿宋_GB2312" w:eastAsia="仿宋_GB2312"/>
          <w:color w:val="auto"/>
          <w:sz w:val="32"/>
          <w:szCs w:val="32"/>
          <w:highlight w:val="none"/>
        </w:rPr>
        <w:t>。</w:t>
      </w:r>
      <w:r>
        <w:rPr>
          <w:rFonts w:hint="eastAsia" w:ascii="Times New Roman" w:hAnsi="Times New Roman" w:eastAsia="仿宋_GB2312" w:cs="仿宋_GB2312"/>
          <w:color w:val="auto"/>
          <w:kern w:val="2"/>
          <w:sz w:val="32"/>
          <w:szCs w:val="32"/>
          <w:highlight w:val="none"/>
          <w:lang w:val="en-US" w:eastAsia="zh-CN" w:bidi="ar-SA"/>
        </w:rPr>
        <w:t>其中：</w:t>
      </w:r>
    </w:p>
    <w:p w14:paraId="7A3F2D1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7AFEA01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14:paraId="3C8BE7B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8" w:name="_Toc15377218"/>
      <w:bookmarkStart w:id="39" w:name="_Toc15396610"/>
    </w:p>
    <w:p w14:paraId="4D5C9DC3">
      <w:pPr>
        <w:spacing w:line="600" w:lineRule="exact"/>
        <w:ind w:firstLine="640" w:firstLineChars="0"/>
        <w:outlineLvl w:val="0"/>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38"/>
      <w:bookmarkEnd w:id="39"/>
    </w:p>
    <w:p w14:paraId="01226743">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w:t>
      </w:r>
      <w:r>
        <w:rPr>
          <w:rFonts w:hint="eastAsia" w:eastAsia="仿宋_GB2312" w:cs="仿宋_GB2312"/>
          <w:color w:val="auto"/>
          <w:kern w:val="2"/>
          <w:sz w:val="32"/>
          <w:szCs w:val="32"/>
          <w:highlight w:val="none"/>
          <w:lang w:val="en-US" w:eastAsia="zh-CN" w:bidi="ar-SA"/>
        </w:rPr>
        <w:t>，无增减变化。</w:t>
      </w:r>
    </w:p>
    <w:p w14:paraId="01E0D09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E71257C">
      <w:pPr>
        <w:numPr>
          <w:ilvl w:val="0"/>
          <w:numId w:val="0"/>
        </w:numPr>
        <w:spacing w:line="600" w:lineRule="exact"/>
        <w:ind w:left="630" w:leftChars="0" w:firstLine="0" w:firstLineChars="0"/>
        <w:outlineLvl w:val="0"/>
        <w:rPr>
          <w:rStyle w:val="29"/>
          <w:rFonts w:ascii="Times New Roman" w:hAnsi="Times New Roman" w:eastAsia="黑体"/>
          <w:b w:val="0"/>
          <w:color w:val="auto"/>
          <w:highlight w:val="none"/>
        </w:rPr>
      </w:pPr>
      <w:bookmarkStart w:id="40" w:name="_Toc15396611"/>
      <w:bookmarkStart w:id="41" w:name="_Toc15377219"/>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40"/>
      <w:bookmarkEnd w:id="41"/>
    </w:p>
    <w:p w14:paraId="190E900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w:t>
      </w:r>
      <w:r>
        <w:rPr>
          <w:rFonts w:hint="eastAsia" w:eastAsia="仿宋_GB2312" w:cs="仿宋_GB2312"/>
          <w:color w:val="auto"/>
          <w:kern w:val="2"/>
          <w:sz w:val="32"/>
          <w:szCs w:val="32"/>
          <w:highlight w:val="none"/>
          <w:lang w:val="en-US" w:eastAsia="zh-CN" w:bidi="ar-SA"/>
        </w:rPr>
        <w:t>无增减变化。</w:t>
      </w:r>
    </w:p>
    <w:p w14:paraId="7A17B68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5E5E156">
      <w:pPr>
        <w:numPr>
          <w:ilvl w:val="0"/>
          <w:numId w:val="0"/>
        </w:numPr>
        <w:spacing w:line="600" w:lineRule="exact"/>
        <w:ind w:left="630" w:leftChars="0" w:firstLine="0" w:firstLineChars="0"/>
        <w:outlineLvl w:val="0"/>
        <w:rPr>
          <w:rStyle w:val="29"/>
          <w:rFonts w:hint="eastAsia" w:ascii="Times New Roman" w:hAnsi="Times New Roman" w:eastAsia="黑体"/>
          <w:b w:val="0"/>
          <w:color w:val="auto"/>
          <w:highlight w:val="none"/>
        </w:rPr>
      </w:pPr>
      <w:bookmarkStart w:id="42" w:name="_Toc15396612"/>
      <w:bookmarkStart w:id="43" w:name="_Toc15377221"/>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42"/>
      <w:bookmarkEnd w:id="43"/>
    </w:p>
    <w:p w14:paraId="4B6CF272">
      <w:pPr>
        <w:spacing w:line="600" w:lineRule="exact"/>
        <w:ind w:firstLine="643" w:firstLineChars="200"/>
        <w:outlineLvl w:val="1"/>
        <w:rPr>
          <w:rFonts w:hint="eastAsia" w:ascii="Times New Roman" w:hAnsi="Times New Roman" w:eastAsia="楷体_GB2312" w:cs="楷体_GB2312"/>
          <w:b/>
          <w:color w:val="auto"/>
          <w:sz w:val="32"/>
          <w:szCs w:val="32"/>
          <w:highlight w:val="none"/>
        </w:rPr>
      </w:pPr>
      <w:bookmarkStart w:id="44" w:name="_Toc15377222"/>
      <w:r>
        <w:rPr>
          <w:rFonts w:hint="eastAsia" w:ascii="Times New Roman" w:hAnsi="Times New Roman" w:eastAsia="楷体_GB2312" w:cs="楷体_GB2312"/>
          <w:b/>
          <w:color w:val="auto"/>
          <w:sz w:val="32"/>
          <w:szCs w:val="32"/>
          <w:highlight w:val="none"/>
        </w:rPr>
        <w:t>（一）机关运行经费支出情况</w:t>
      </w:r>
      <w:bookmarkEnd w:id="44"/>
    </w:p>
    <w:p w14:paraId="31E06AC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四川省总工会成都工人疗养院</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元，与2023年度相比，</w:t>
      </w:r>
      <w:r>
        <w:rPr>
          <w:rFonts w:hint="eastAsia" w:eastAsia="仿宋_GB2312" w:cs="仿宋_GB2312"/>
          <w:color w:val="auto"/>
          <w:kern w:val="2"/>
          <w:sz w:val="32"/>
          <w:szCs w:val="32"/>
          <w:highlight w:val="none"/>
          <w:lang w:val="en-US" w:eastAsia="zh-CN" w:bidi="ar-SA"/>
        </w:rPr>
        <w:t>无增减变化。</w:t>
      </w:r>
    </w:p>
    <w:p w14:paraId="679A0709">
      <w:pPr>
        <w:spacing w:line="600" w:lineRule="exact"/>
        <w:ind w:firstLine="643" w:firstLineChars="200"/>
        <w:outlineLvl w:val="1"/>
        <w:rPr>
          <w:rFonts w:hint="eastAsia" w:ascii="Times New Roman" w:hAnsi="Times New Roman" w:eastAsia="楷体_GB2312" w:cs="楷体_GB2312"/>
          <w:b/>
          <w:color w:val="auto"/>
          <w:sz w:val="32"/>
          <w:szCs w:val="32"/>
          <w:highlight w:val="none"/>
        </w:rPr>
      </w:pPr>
      <w:bookmarkStart w:id="45" w:name="_Toc15377223"/>
      <w:r>
        <w:rPr>
          <w:rFonts w:hint="eastAsia" w:ascii="Times New Roman" w:hAnsi="Times New Roman" w:eastAsia="楷体_GB2312" w:cs="楷体_GB2312"/>
          <w:b/>
          <w:color w:val="auto"/>
          <w:sz w:val="32"/>
          <w:szCs w:val="32"/>
          <w:highlight w:val="none"/>
        </w:rPr>
        <w:t>（二）政府采购支出情况</w:t>
      </w:r>
      <w:bookmarkEnd w:id="45"/>
    </w:p>
    <w:p w14:paraId="3C779AA5">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四川省总工会成都工人疗养院</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51AFA889">
      <w:pPr>
        <w:spacing w:line="600" w:lineRule="exact"/>
        <w:ind w:firstLine="643" w:firstLineChars="200"/>
        <w:outlineLvl w:val="1"/>
        <w:rPr>
          <w:rFonts w:hint="eastAsia" w:ascii="Times New Roman" w:hAnsi="Times New Roman" w:eastAsia="楷体_GB2312" w:cs="楷体_GB2312"/>
          <w:b/>
          <w:color w:val="auto"/>
          <w:sz w:val="32"/>
          <w:szCs w:val="32"/>
          <w:highlight w:val="none"/>
        </w:rPr>
      </w:pPr>
      <w:bookmarkStart w:id="46" w:name="_Toc15377224"/>
      <w:r>
        <w:rPr>
          <w:rFonts w:hint="eastAsia" w:ascii="Times New Roman" w:hAnsi="Times New Roman" w:eastAsia="楷体_GB2312" w:cs="楷体_GB2312"/>
          <w:b/>
          <w:color w:val="auto"/>
          <w:sz w:val="32"/>
          <w:szCs w:val="32"/>
          <w:highlight w:val="none"/>
        </w:rPr>
        <w:t>（三）国有资产占有使用情况</w:t>
      </w:r>
      <w:bookmarkEnd w:id="46"/>
    </w:p>
    <w:p w14:paraId="67BEA9D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四川省总工会成都工人疗养院</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1FBCB089">
      <w:pPr>
        <w:spacing w:line="600" w:lineRule="exact"/>
        <w:ind w:firstLine="643" w:firstLineChars="200"/>
        <w:outlineLvl w:val="1"/>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69C42A3E">
      <w:pPr>
        <w:spacing w:line="600" w:lineRule="exact"/>
        <w:ind w:firstLine="640"/>
        <w:rPr>
          <w:rFonts w:hint="eastAsia" w:ascii="仿宋_GB2312" w:hAnsi="Times New Roman" w:eastAsia="仿宋_GB2312" w:cs="Times New Roman"/>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ascii="仿宋_GB2312" w:hAnsi="仿宋_GB2312" w:eastAsia="仿宋_GB2312" w:cs="仿宋_GB2312"/>
          <w:sz w:val="32"/>
          <w:szCs w:val="32"/>
        </w:rPr>
        <w:t>四川省总工会成都工人疗养院</w:t>
      </w:r>
      <w:r>
        <w:rPr>
          <w:rFonts w:hint="eastAsia" w:ascii="Times New Roman" w:hAnsi="Times New Roman" w:eastAsia="仿宋_GB2312" w:cs="仿宋_GB2312"/>
          <w:color w:val="auto"/>
          <w:kern w:val="2"/>
          <w:sz w:val="32"/>
          <w:szCs w:val="32"/>
          <w:highlight w:val="none"/>
          <w:lang w:val="en-US" w:eastAsia="zh-CN" w:bidi="ar-SA"/>
        </w:rPr>
        <w:t>在2024年度预算编制阶段，</w:t>
      </w:r>
      <w:r>
        <w:rPr>
          <w:rFonts w:hint="eastAsia" w:ascii="仿宋_GB2312" w:hAnsi="Times New Roman" w:eastAsia="仿宋_GB2312" w:cs="Times New Roman"/>
          <w:color w:val="auto"/>
          <w:sz w:val="32"/>
          <w:szCs w:val="32"/>
          <w:highlight w:val="none"/>
          <w:lang w:eastAsia="zh-CN"/>
        </w:rPr>
        <w:t>组织对单位缴费、离退休费支出、其他补助支出、离退休公用等</w:t>
      </w:r>
      <w:r>
        <w:rPr>
          <w:rFonts w:hint="eastAsia" w:ascii="仿宋_GB2312" w:hAnsi="Times New Roman" w:eastAsia="仿宋_GB2312" w:cs="Times New Roman"/>
          <w:color w:val="auto"/>
          <w:sz w:val="32"/>
          <w:szCs w:val="32"/>
          <w:highlight w:val="none"/>
          <w:lang w:val="en-US" w:eastAsia="zh-CN"/>
        </w:rPr>
        <w:t>4个项目</w:t>
      </w:r>
      <w:r>
        <w:rPr>
          <w:rFonts w:hint="eastAsia" w:ascii="仿宋_GB2312" w:hAnsi="Times New Roman" w:eastAsia="仿宋_GB2312" w:cs="Times New Roman"/>
          <w:color w:val="auto"/>
          <w:sz w:val="32"/>
          <w:szCs w:val="32"/>
          <w:highlight w:val="none"/>
          <w:lang w:eastAsia="zh-CN"/>
        </w:rPr>
        <w:t>编制了绩效目标，预算执行过程中，对上述</w:t>
      </w:r>
      <w:r>
        <w:rPr>
          <w:rFonts w:hint="eastAsia" w:ascii="仿宋_GB2312" w:hAnsi="Times New Roman" w:eastAsia="仿宋_GB2312" w:cs="Times New Roman"/>
          <w:color w:val="auto"/>
          <w:sz w:val="32"/>
          <w:szCs w:val="32"/>
          <w:highlight w:val="none"/>
          <w:lang w:val="en-US" w:eastAsia="zh-CN"/>
        </w:rPr>
        <w:t>4</w:t>
      </w:r>
      <w:r>
        <w:rPr>
          <w:rFonts w:hint="eastAsia" w:ascii="仿宋_GB2312" w:hAnsi="Times New Roman" w:eastAsia="仿宋_GB2312" w:cs="Times New Roman"/>
          <w:color w:val="auto"/>
          <w:sz w:val="32"/>
          <w:szCs w:val="32"/>
          <w:highlight w:val="none"/>
          <w:lang w:eastAsia="zh-CN"/>
        </w:rPr>
        <w:t>个项目开展绩效监控</w:t>
      </w:r>
      <w:r>
        <w:rPr>
          <w:rFonts w:hint="eastAsia" w:ascii="仿宋_GB2312" w:hAnsi="Times New Roman" w:eastAsia="仿宋_GB2312" w:cs="Times New Roman"/>
          <w:color w:val="auto"/>
          <w:sz w:val="32"/>
          <w:szCs w:val="32"/>
          <w:highlight w:val="none"/>
          <w:lang w:val="en-US" w:eastAsia="zh-CN"/>
        </w:rPr>
        <w:t>。</w:t>
      </w:r>
    </w:p>
    <w:p w14:paraId="631A1571">
      <w:pPr>
        <w:spacing w:line="600" w:lineRule="exact"/>
        <w:ind w:firstLine="640"/>
        <w:rPr>
          <w:rFonts w:hint="eastAsia" w:ascii="仿宋_GB2312" w:hAnsi="Times New Roman" w:eastAsia="仿宋_GB2312" w:cs="Times New Roman"/>
          <w:color w:val="auto"/>
          <w:sz w:val="32"/>
          <w:szCs w:val="32"/>
          <w:highlight w:val="none"/>
          <w:lang w:val="en-US" w:eastAsia="zh-CN"/>
        </w:rPr>
      </w:pPr>
      <w:r>
        <w:rPr>
          <w:rFonts w:hint="eastAsia" w:ascii="仿宋" w:hAnsi="仿宋" w:eastAsia="仿宋" w:cs="仿宋_GB2312"/>
          <w:sz w:val="32"/>
          <w:szCs w:val="32"/>
        </w:rPr>
        <w:t>本单位</w:t>
      </w:r>
      <w:r>
        <w:rPr>
          <w:rFonts w:hint="eastAsia" w:ascii="Times New Roman" w:hAnsi="Times New Roman" w:eastAsia="仿宋_GB2312" w:cs="仿宋_GB2312"/>
          <w:color w:val="auto"/>
          <w:kern w:val="2"/>
          <w:sz w:val="32"/>
          <w:szCs w:val="32"/>
          <w:highlight w:val="none"/>
          <w:lang w:val="en-US" w:eastAsia="zh-CN" w:bidi="ar-SA"/>
        </w:rPr>
        <w:t>组织</w:t>
      </w:r>
      <w:r>
        <w:rPr>
          <w:rFonts w:hint="eastAsia" w:eastAsia="仿宋_GB2312" w:cs="仿宋_GB2312"/>
          <w:color w:val="auto"/>
          <w:kern w:val="2"/>
          <w:sz w:val="32"/>
          <w:szCs w:val="32"/>
          <w:highlight w:val="none"/>
          <w:lang w:val="en-US" w:eastAsia="zh-CN" w:bidi="ar-SA"/>
        </w:rPr>
        <w:t>开展</w:t>
      </w: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Times New Roman" w:eastAsia="仿宋_GB2312" w:cs="Times New Roman"/>
          <w:color w:val="auto"/>
          <w:sz w:val="32"/>
          <w:szCs w:val="32"/>
          <w:highlight w:val="none"/>
          <w:lang w:eastAsia="zh-CN"/>
        </w:rPr>
        <w:t>整体支出绩效评价情况自评</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cs="仿宋_GB2312"/>
          <w:sz w:val="32"/>
          <w:szCs w:val="32"/>
        </w:rPr>
        <w:t>对单位缴费、离退休费</w:t>
      </w:r>
      <w:r>
        <w:rPr>
          <w:rFonts w:hint="eastAsia" w:ascii="仿宋" w:hAnsi="仿宋" w:eastAsia="仿宋" w:cs="仿宋_GB2312"/>
          <w:color w:val="auto"/>
          <w:sz w:val="32"/>
          <w:szCs w:val="32"/>
        </w:rPr>
        <w:t>支出、其他补助支出、离退休公用4个项目开展绩效自评</w:t>
      </w:r>
      <w:r>
        <w:rPr>
          <w:rFonts w:hint="eastAsia" w:ascii="仿宋" w:hAnsi="仿宋" w:eastAsia="仿宋" w:cs="仿宋_GB2312"/>
          <w:color w:val="auto"/>
          <w:sz w:val="32"/>
          <w:szCs w:val="32"/>
          <w:lang w:eastAsia="zh-CN"/>
        </w:rPr>
        <w:t>，</w:t>
      </w:r>
      <w:r>
        <w:rPr>
          <w:rFonts w:hint="eastAsia" w:ascii="仿宋_GB2312" w:hAnsi="Times New Roman" w:eastAsia="仿宋_GB2312" w:cs="Times New Roman"/>
          <w:color w:val="auto"/>
          <w:sz w:val="32"/>
          <w:szCs w:val="32"/>
          <w:highlight w:val="none"/>
          <w:lang w:eastAsia="zh-CN"/>
        </w:rPr>
        <w:t>形成《202</w:t>
      </w:r>
      <w:r>
        <w:rPr>
          <w:rFonts w:hint="eastAsia" w:ascii="仿宋_GB2312" w:hAnsi="Times New Roman" w:eastAsia="仿宋_GB2312" w:cs="Times New Roman"/>
          <w:color w:val="auto"/>
          <w:sz w:val="32"/>
          <w:szCs w:val="32"/>
          <w:highlight w:val="none"/>
          <w:lang w:val="en-US" w:eastAsia="zh-CN"/>
        </w:rPr>
        <w:t>4</w:t>
      </w:r>
      <w:r>
        <w:rPr>
          <w:rFonts w:hint="eastAsia" w:ascii="仿宋_GB2312" w:hAnsi="Times New Roman" w:eastAsia="仿宋_GB2312" w:cs="Times New Roman"/>
          <w:color w:val="auto"/>
          <w:sz w:val="32"/>
          <w:szCs w:val="32"/>
          <w:highlight w:val="none"/>
          <w:lang w:eastAsia="zh-CN"/>
        </w:rPr>
        <w:t>年四川省总工会</w:t>
      </w:r>
      <w:r>
        <w:rPr>
          <w:rFonts w:hint="eastAsia" w:ascii="仿宋_GB2312" w:hAnsi="Times New Roman" w:eastAsia="仿宋_GB2312" w:cs="Times New Roman"/>
          <w:color w:val="auto"/>
          <w:sz w:val="32"/>
          <w:szCs w:val="32"/>
          <w:highlight w:val="none"/>
          <w:lang w:val="en-US" w:eastAsia="zh-CN"/>
        </w:rPr>
        <w:t>成都</w:t>
      </w:r>
      <w:r>
        <w:rPr>
          <w:rFonts w:hint="eastAsia" w:ascii="仿宋_GB2312" w:hAnsi="Times New Roman" w:eastAsia="仿宋_GB2312" w:cs="Times New Roman"/>
          <w:color w:val="auto"/>
          <w:sz w:val="32"/>
          <w:szCs w:val="32"/>
          <w:highlight w:val="none"/>
          <w:lang w:eastAsia="zh-CN"/>
        </w:rPr>
        <w:t>工人疗养院整体支出绩效自评报告》及</w:t>
      </w:r>
      <w:r>
        <w:rPr>
          <w:rFonts w:hint="eastAsia" w:ascii="仿宋_GB2312" w:hAnsi="Times New Roman" w:eastAsia="仿宋_GB2312" w:cs="Times New Roman"/>
          <w:color w:val="auto"/>
          <w:sz w:val="32"/>
          <w:szCs w:val="32"/>
          <w:highlight w:val="none"/>
          <w:lang w:val="en-US" w:eastAsia="zh-CN"/>
        </w:rPr>
        <w:t>绩效自评表</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Times New Roman" w:eastAsia="仿宋_GB2312" w:cs="Times New Roman"/>
          <w:color w:val="auto"/>
          <w:sz w:val="32"/>
          <w:szCs w:val="32"/>
          <w:highlight w:val="none"/>
          <w:lang w:val="en-US" w:eastAsia="zh-CN"/>
        </w:rPr>
        <w:t>详见第四部分附件。</w:t>
      </w:r>
    </w:p>
    <w:p w14:paraId="68C8B63B">
      <w:pPr>
        <w:pStyle w:val="5"/>
        <w:rPr>
          <w:rFonts w:hint="eastAsia" w:ascii="仿宋_GB2312" w:hAnsi="Times New Roman" w:eastAsia="仿宋_GB2312" w:cs="Times New Roman"/>
          <w:color w:val="auto"/>
          <w:sz w:val="32"/>
          <w:szCs w:val="32"/>
          <w:highlight w:val="none"/>
          <w:lang w:val="en-US" w:eastAsia="zh-CN"/>
        </w:rPr>
      </w:pPr>
    </w:p>
    <w:p w14:paraId="602D3747">
      <w:pPr>
        <w:pStyle w:val="5"/>
        <w:rPr>
          <w:rFonts w:hint="eastAsia" w:ascii="仿宋_GB2312" w:hAnsi="Times New Roman" w:eastAsia="仿宋_GB2312" w:cs="Times New Roman"/>
          <w:color w:val="auto"/>
          <w:sz w:val="32"/>
          <w:szCs w:val="32"/>
          <w:highlight w:val="none"/>
          <w:lang w:val="en-US" w:eastAsia="zh-CN"/>
        </w:rPr>
      </w:pPr>
    </w:p>
    <w:p w14:paraId="469D770F">
      <w:pPr>
        <w:pStyle w:val="5"/>
        <w:rPr>
          <w:rFonts w:hint="eastAsia" w:ascii="仿宋_GB2312" w:hAnsi="Times New Roman" w:eastAsia="仿宋_GB2312" w:cs="Times New Roman"/>
          <w:color w:val="auto"/>
          <w:sz w:val="32"/>
          <w:szCs w:val="32"/>
          <w:highlight w:val="none"/>
          <w:lang w:val="en-US" w:eastAsia="zh-CN"/>
        </w:rPr>
      </w:pPr>
    </w:p>
    <w:p w14:paraId="71347972">
      <w:pPr>
        <w:pStyle w:val="5"/>
        <w:rPr>
          <w:rFonts w:hint="eastAsia" w:ascii="仿宋_GB2312" w:hAnsi="Times New Roman" w:eastAsia="仿宋_GB2312" w:cs="Times New Roman"/>
          <w:color w:val="auto"/>
          <w:sz w:val="32"/>
          <w:szCs w:val="32"/>
          <w:highlight w:val="none"/>
          <w:lang w:val="en-US" w:eastAsia="zh-CN"/>
        </w:rPr>
      </w:pPr>
    </w:p>
    <w:p w14:paraId="7F2B8745">
      <w:pPr>
        <w:pStyle w:val="5"/>
        <w:rPr>
          <w:rFonts w:hint="eastAsia" w:ascii="仿宋_GB2312" w:hAnsi="Times New Roman" w:eastAsia="仿宋_GB2312" w:cs="Times New Roman"/>
          <w:color w:val="auto"/>
          <w:sz w:val="32"/>
          <w:szCs w:val="32"/>
          <w:highlight w:val="none"/>
          <w:lang w:val="en-US" w:eastAsia="zh-CN"/>
        </w:rPr>
      </w:pPr>
    </w:p>
    <w:p w14:paraId="3F62224B">
      <w:pPr>
        <w:pStyle w:val="5"/>
        <w:rPr>
          <w:rFonts w:hint="eastAsia" w:ascii="仿宋_GB2312" w:hAnsi="Times New Roman" w:eastAsia="仿宋_GB2312" w:cs="Times New Roman"/>
          <w:color w:val="auto"/>
          <w:sz w:val="32"/>
          <w:szCs w:val="32"/>
          <w:highlight w:val="none"/>
          <w:lang w:val="en-US" w:eastAsia="zh-CN"/>
        </w:rPr>
      </w:pPr>
    </w:p>
    <w:p w14:paraId="300C1E66">
      <w:pPr>
        <w:pStyle w:val="5"/>
        <w:rPr>
          <w:rFonts w:hint="eastAsia" w:ascii="仿宋_GB2312" w:hAnsi="Times New Roman" w:eastAsia="仿宋_GB2312" w:cs="Times New Roman"/>
          <w:color w:val="auto"/>
          <w:sz w:val="32"/>
          <w:szCs w:val="32"/>
          <w:highlight w:val="none"/>
          <w:lang w:val="en-US" w:eastAsia="zh-CN"/>
        </w:rPr>
      </w:pPr>
    </w:p>
    <w:p w14:paraId="47BAB0E8">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7" w:name="_Toc15377225"/>
      <w:bookmarkStart w:id="48"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7"/>
      <w:bookmarkEnd w:id="48"/>
    </w:p>
    <w:p w14:paraId="6DE6DA8C">
      <w:pPr>
        <w:spacing w:line="600" w:lineRule="exact"/>
        <w:jc w:val="left"/>
        <w:rPr>
          <w:rFonts w:ascii="Times New Roman" w:hAnsi="Times New Roman"/>
          <w:b/>
          <w:color w:val="auto"/>
          <w:sz w:val="44"/>
          <w:szCs w:val="44"/>
          <w:highlight w:val="none"/>
        </w:rPr>
      </w:pPr>
    </w:p>
    <w:p w14:paraId="6870461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10D72F43">
      <w:pPr>
        <w:spacing w:line="600" w:lineRule="exact"/>
        <w:ind w:firstLine="640"/>
        <w:rPr>
          <w:rFonts w:hint="eastAsia"/>
          <w:lang w:val="en-US" w:eastAsia="zh-CN"/>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1894F50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3.其他收入：指单位取得的除上述收入以外的各项收入。</w:t>
      </w:r>
    </w:p>
    <w:p w14:paraId="6BC950F2">
      <w:pPr>
        <w:pStyle w:val="26"/>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s="仿宋"/>
          <w:color w:val="000000"/>
          <w:kern w:val="0"/>
          <w:sz w:val="32"/>
          <w:szCs w:val="32"/>
          <w:lang w:val="en-US" w:eastAsia="zh-CN"/>
        </w:rPr>
        <w:t>4</w:t>
      </w:r>
      <w:r>
        <w:rPr>
          <w:rFonts w:hint="eastAsia" w:ascii="仿宋_GB2312" w:hAnsi="Calibri" w:eastAsia="仿宋_GB2312" w:cs="仿宋"/>
          <w:color w:val="000000"/>
          <w:kern w:val="0"/>
          <w:sz w:val="32"/>
          <w:szCs w:val="32"/>
        </w:rPr>
        <w:t>.社会保障和就业（类）行政事业单位离退休（款）事业单位离退休（项）:指在政府在社会保障与就业方面支出中，用于行政事业单位离退休方面支出的归口管理的事业单位开支的离退休经费</w:t>
      </w:r>
      <w:r>
        <w:rPr>
          <w:rFonts w:hint="eastAsia" w:ascii="仿宋_GB2312" w:hAnsi="Calibri" w:eastAsia="仿宋_GB2312" w:cs="仿宋"/>
          <w:color w:val="000000"/>
          <w:kern w:val="0"/>
          <w:sz w:val="32"/>
          <w:szCs w:val="32"/>
          <w:lang w:eastAsia="zh-CN"/>
        </w:rPr>
        <w:t>；</w:t>
      </w:r>
      <w:r>
        <w:rPr>
          <w:rFonts w:hint="eastAsia" w:ascii="仿宋_GB2312" w:hAnsi="Calibri" w:eastAsia="仿宋_GB2312" w:cs="仿宋"/>
          <w:color w:val="000000"/>
          <w:kern w:val="0"/>
          <w:sz w:val="32"/>
          <w:szCs w:val="32"/>
        </w:rPr>
        <w:t>社会保障和就业（类）行政事业单位离退休（款）机关事业单位基本养老保险缴费支出（项）:指在政府在社会保障与就业方面支出中，用于行政事业单位离退休方面支出的机关事业单位实施养老保险制度由单位缴纳的基本养老保险费支出；社会保障和就业（类）行政事业单位离退休（款）机关事业单位职业年金缴费支出（项）:指在政府在社会保障与就业方面支出中，用于行政事业单位离退休方面支出的机关事业单位实施养老保险制度由单位实际缴纳的职业年金支出</w:t>
      </w:r>
      <w:r>
        <w:rPr>
          <w:rFonts w:hint="eastAsia" w:ascii="仿宋_GB2312" w:hAnsi="Calibri" w:eastAsia="仿宋_GB2312" w:cs="仿宋"/>
          <w:color w:val="000000"/>
          <w:kern w:val="0"/>
          <w:sz w:val="32"/>
          <w:szCs w:val="32"/>
          <w:lang w:eastAsia="zh-CN"/>
        </w:rPr>
        <w:t>；</w:t>
      </w:r>
      <w:r>
        <w:rPr>
          <w:rFonts w:hint="eastAsia" w:ascii="仿宋_GB2312" w:hAnsi="Calibri" w:eastAsia="仿宋_GB2312" w:cs="仿宋"/>
          <w:color w:val="000000"/>
          <w:kern w:val="0"/>
          <w:sz w:val="32"/>
          <w:szCs w:val="32"/>
        </w:rPr>
        <w:t>社会保障和就业（类）其他社会保障和就业支出（款）其他社会保障和就业支</w:t>
      </w:r>
      <w:r>
        <w:rPr>
          <w:rFonts w:hint="eastAsia" w:ascii="仿宋_GB2312" w:eastAsia="仿宋_GB2312"/>
          <w:color w:val="auto"/>
          <w:sz w:val="32"/>
          <w:szCs w:val="32"/>
          <w:highlight w:val="none"/>
        </w:rPr>
        <w:t>出（项）:指在政府在社会保障与就业方面支出中，用于其他社会保障和就业方面的支出。</w:t>
      </w:r>
    </w:p>
    <w:p w14:paraId="6542F771">
      <w:pPr>
        <w:pStyle w:val="26"/>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.卫生健康（类）行政事业单位医疗（款）事业单位医疗（项）：</w:t>
      </w:r>
      <w:r>
        <w:rPr>
          <w:rFonts w:hint="eastAsia" w:ascii="仿宋_GB2312" w:eastAsia="仿宋_GB2312"/>
          <w:color w:val="auto"/>
          <w:sz w:val="32"/>
          <w:szCs w:val="32"/>
          <w:highlight w:val="none"/>
          <w:lang w:eastAsia="zh-CN"/>
        </w:rPr>
        <w:t>指</w:t>
      </w:r>
      <w:r>
        <w:rPr>
          <w:rFonts w:hint="eastAsia" w:ascii="仿宋_GB2312" w:eastAsia="仿宋_GB2312"/>
          <w:color w:val="auto"/>
          <w:sz w:val="32"/>
          <w:szCs w:val="32"/>
          <w:highlight w:val="none"/>
        </w:rPr>
        <w:t>财政部门安排的事业单位基本医疗保险缴费经费，未参加医疗保险的事业单位的公费医疗经费，按国家规定享受离休人员待遇的医疗经费。</w:t>
      </w:r>
    </w:p>
    <w:p w14:paraId="25B27F71">
      <w:pPr>
        <w:pStyle w:val="26"/>
        <w:spacing w:line="560" w:lineRule="exact"/>
        <w:ind w:firstLine="640" w:firstLineChars="200"/>
        <w:rPr>
          <w:rFonts w:hint="eastAsia" w:ascii="仿宋_GB2312" w:eastAsia="仿宋"/>
          <w:color w:val="auto"/>
          <w:sz w:val="32"/>
          <w:szCs w:val="32"/>
          <w:highlight w:val="none"/>
          <w:lang w:val="en-US" w:eastAsia="zh-CN"/>
        </w:rPr>
      </w:pPr>
      <w:r>
        <w:rPr>
          <w:rFonts w:hint="eastAsia" w:ascii="仿宋_GB2312" w:eastAsia="仿宋_GB2312"/>
          <w:color w:val="auto"/>
          <w:sz w:val="32"/>
          <w:szCs w:val="32"/>
          <w:highlight w:val="none"/>
          <w:lang w:val="en-US" w:eastAsia="zh-CN"/>
        </w:rPr>
        <w:t>6.</w:t>
      </w:r>
      <w:r>
        <w:rPr>
          <w:rFonts w:hint="eastAsia" w:ascii="仿宋" w:hAnsi="仿宋" w:eastAsia="仿宋"/>
          <w:b w:val="0"/>
          <w:bCs w:val="0"/>
          <w:color w:val="auto"/>
          <w:sz w:val="32"/>
          <w:szCs w:val="32"/>
        </w:rPr>
        <w:t>住房保障</w:t>
      </w:r>
      <w:r>
        <w:rPr>
          <w:rStyle w:val="17"/>
          <w:rFonts w:hint="eastAsia" w:ascii="仿宋" w:hAnsi="仿宋" w:eastAsia="仿宋"/>
          <w:b w:val="0"/>
          <w:bCs w:val="0"/>
          <w:color w:val="auto"/>
          <w:sz w:val="32"/>
          <w:szCs w:val="32"/>
        </w:rPr>
        <w:t>（类）住房改革</w:t>
      </w:r>
      <w:r>
        <w:rPr>
          <w:rStyle w:val="17"/>
          <w:rFonts w:hint="eastAsia" w:ascii="仿宋" w:hAnsi="仿宋" w:eastAsia="仿宋"/>
          <w:b w:val="0"/>
          <w:bCs w:val="0"/>
          <w:color w:val="auto"/>
          <w:sz w:val="32"/>
          <w:szCs w:val="32"/>
          <w:lang w:eastAsia="zh-CN"/>
        </w:rPr>
        <w:t>支出</w:t>
      </w:r>
      <w:r>
        <w:rPr>
          <w:rStyle w:val="17"/>
          <w:rFonts w:hint="eastAsia" w:ascii="仿宋" w:hAnsi="仿宋" w:eastAsia="仿宋"/>
          <w:b w:val="0"/>
          <w:bCs w:val="0"/>
          <w:color w:val="auto"/>
          <w:sz w:val="32"/>
          <w:szCs w:val="32"/>
        </w:rPr>
        <w:t>（款）住房公积金（项）</w:t>
      </w:r>
      <w:r>
        <w:rPr>
          <w:rStyle w:val="17"/>
          <w:rFonts w:hint="eastAsia" w:hAnsi="仿宋"/>
          <w:b w:val="0"/>
          <w:bCs w:val="0"/>
          <w:color w:val="auto"/>
          <w:sz w:val="32"/>
          <w:szCs w:val="32"/>
          <w:lang w:eastAsia="zh-CN"/>
        </w:rPr>
        <w:t>：指</w:t>
      </w:r>
      <w:r>
        <w:rPr>
          <w:rFonts w:hint="eastAsia" w:ascii="仿宋_GB2312" w:eastAsia="仿宋_GB2312"/>
          <w:color w:val="auto"/>
          <w:sz w:val="32"/>
          <w:szCs w:val="32"/>
          <w:highlight w:val="none"/>
        </w:rPr>
        <w:t>政府用于住房方面支出中，行政事业单位用财政拨款资金和其他资金等安排的住房改革支出的，行政事业单位按人力资源和社会保障部、财政部规定的基本工资和津补贴以及规定比例为职工缴纳的住房公积金。</w:t>
      </w:r>
    </w:p>
    <w:p w14:paraId="1702977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253E14C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503072E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4946242">
      <w:pPr>
        <w:spacing w:line="600" w:lineRule="exact"/>
        <w:jc w:val="center"/>
        <w:outlineLvl w:val="0"/>
        <w:rPr>
          <w:rStyle w:val="28"/>
          <w:rFonts w:hint="eastAsia" w:ascii="Times New Roman" w:hAnsi="Times New Roman" w:eastAsia="黑体"/>
          <w:b w:val="0"/>
          <w:color w:val="auto"/>
          <w:highlight w:val="none"/>
          <w:lang w:eastAsia="zh-CN"/>
        </w:rPr>
      </w:pPr>
      <w:bookmarkStart w:id="49"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0"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0"/>
    </w:p>
    <w:p w14:paraId="1373330C">
      <w:pPr>
        <w:keepNext w:val="0"/>
        <w:keepLines w:val="0"/>
        <w:pageBreakBefore w:val="0"/>
        <w:kinsoku/>
        <w:wordWrap/>
        <w:overflowPunct/>
        <w:topLinePunct w:val="0"/>
        <w:autoSpaceDE/>
        <w:autoSpaceDN/>
        <w:bidi w:val="0"/>
        <w:spacing w:line="572" w:lineRule="exact"/>
        <w:jc w:val="left"/>
        <w:textAlignment w:val="auto"/>
        <w:outlineLvl w:val="9"/>
        <w:rPr>
          <w:rFonts w:hint="eastAsia" w:ascii="Times New Roman" w:hAnsi="Times New Roman" w:eastAsia="黑体" w:cs="黑体"/>
          <w:color w:val="FF0000"/>
          <w:sz w:val="32"/>
          <w:szCs w:val="32"/>
          <w:highlight w:val="none"/>
        </w:rPr>
      </w:pPr>
    </w:p>
    <w:p w14:paraId="2981D5D3">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p>
    <w:p w14:paraId="6C58EB96">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2E363B78">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Times New Roman" w:hAnsi="Times New Roman" w:eastAsia="方正小标宋简体" w:cs="Times New Roman"/>
          <w:b w:val="0"/>
          <w:bCs/>
          <w:sz w:val="44"/>
          <w:szCs w:val="44"/>
          <w:highlight w:val="none"/>
          <w:shd w:val="clear" w:color="auto" w:fill="FFFFFF"/>
          <w:lang w:val="en-US" w:eastAsia="zh-CN"/>
        </w:rPr>
      </w:pPr>
      <w:r>
        <w:rPr>
          <w:rFonts w:hint="eastAsia" w:ascii="Times New Roman" w:hAnsi="Times New Roman" w:eastAsia="方正小标宋简体" w:cs="Times New Roman"/>
          <w:b w:val="0"/>
          <w:bCs/>
          <w:sz w:val="44"/>
          <w:szCs w:val="44"/>
          <w:highlight w:val="none"/>
          <w:shd w:val="clear" w:color="auto" w:fill="FFFFFF"/>
          <w:lang w:val="en-US" w:eastAsia="zh-CN"/>
        </w:rPr>
        <w:t>四川省总工会成都工人疗养院</w:t>
      </w:r>
    </w:p>
    <w:p w14:paraId="55D76713">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Times New Roman" w:hAnsi="Times New Roman" w:eastAsia="方正小标宋简体" w:cs="Times New Roman"/>
          <w:b w:val="0"/>
          <w:bCs/>
          <w:sz w:val="44"/>
          <w:szCs w:val="44"/>
          <w:highlight w:val="none"/>
          <w:shd w:val="clear" w:color="auto" w:fill="FFFFFF"/>
        </w:rPr>
      </w:pPr>
      <w:r>
        <w:rPr>
          <w:rFonts w:hint="eastAsia" w:ascii="Times New Roman" w:hAnsi="Times New Roman" w:eastAsia="方正小标宋简体" w:cs="Times New Roman"/>
          <w:b w:val="0"/>
          <w:bCs/>
          <w:sz w:val="44"/>
          <w:szCs w:val="44"/>
          <w:highlight w:val="none"/>
          <w:shd w:val="clear" w:color="auto" w:fill="FFFFFF"/>
          <w:lang w:val="en-US" w:eastAsia="zh-CN"/>
        </w:rPr>
        <w:t>2024年</w:t>
      </w:r>
      <w:r>
        <w:rPr>
          <w:rFonts w:hint="eastAsia" w:ascii="Times New Roman" w:hAnsi="Times New Roman" w:eastAsia="方正小标宋简体" w:cs="Times New Roman"/>
          <w:b w:val="0"/>
          <w:bCs/>
          <w:sz w:val="44"/>
          <w:szCs w:val="44"/>
          <w:highlight w:val="none"/>
          <w:shd w:val="clear" w:color="auto" w:fill="FFFFFF"/>
        </w:rPr>
        <w:t>部门整体支出绩效评价报告</w:t>
      </w:r>
    </w:p>
    <w:p w14:paraId="6849FDA1">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4033B63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单位基本情况</w:t>
      </w:r>
    </w:p>
    <w:p w14:paraId="54CCDCF6">
      <w:pPr>
        <w:keepNext w:val="0"/>
        <w:keepLines w:val="0"/>
        <w:pageBreakBefore w:val="0"/>
        <w:suppressAutoHyphens/>
        <w:kinsoku/>
        <w:wordWrap/>
        <w:overflowPunct/>
        <w:topLinePunct w:val="0"/>
        <w:autoSpaceDE/>
        <w:autoSpaceDN/>
        <w:bidi w:val="0"/>
        <w:spacing w:line="576" w:lineRule="exact"/>
        <w:ind w:firstLine="643" w:firstLineChars="200"/>
        <w:outlineLvl w:val="9"/>
        <w:rPr>
          <w:rFonts w:hint="default"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14:paraId="6B4A4B39">
      <w:pPr>
        <w:keepNext w:val="0"/>
        <w:keepLines w:val="0"/>
        <w:pageBreakBefore w:val="0"/>
        <w:suppressAutoHyphens/>
        <w:kinsoku/>
        <w:wordWrap/>
        <w:overflowPunct/>
        <w:topLinePunct w:val="0"/>
        <w:autoSpaceDE/>
        <w:autoSpaceDN/>
        <w:bidi w:val="0"/>
        <w:spacing w:line="576" w:lineRule="exact"/>
        <w:ind w:firstLine="640" w:firstLineChars="200"/>
        <w:outlineLvl w:val="9"/>
        <w:rPr>
          <w:rFonts w:hint="default"/>
        </w:rPr>
      </w:pPr>
      <w:r>
        <w:rPr>
          <w:rFonts w:hint="eastAsia" w:ascii="仿宋_GB2312" w:hAnsi="仿宋_GB2312" w:eastAsia="仿宋_GB2312" w:cs="仿宋_GB2312"/>
          <w:color w:val="auto"/>
          <w:kern w:val="2"/>
          <w:sz w:val="32"/>
          <w:szCs w:val="32"/>
          <w:highlight w:val="none"/>
          <w:lang w:val="en-US" w:eastAsia="zh-CN" w:bidi="ar-SA"/>
        </w:rPr>
        <w:t>四川省总工会成都工人疗养院是直属于四川省总工会的二级预算单位，下设办公室、财务科、总务科、休养所、体检中心、餐厅部6个科室。</w:t>
      </w:r>
    </w:p>
    <w:p w14:paraId="6432E371">
      <w:pPr>
        <w:keepNext w:val="0"/>
        <w:keepLines w:val="0"/>
        <w:pageBreakBefore w:val="0"/>
        <w:numPr>
          <w:ilvl w:val="0"/>
          <w:numId w:val="2"/>
        </w:numPr>
        <w:suppressAutoHyphens/>
        <w:kinsoku/>
        <w:wordWrap/>
        <w:overflowPunct/>
        <w:topLinePunct w:val="0"/>
        <w:autoSpaceDE/>
        <w:autoSpaceDN/>
        <w:bidi w:val="0"/>
        <w:spacing w:line="576" w:lineRule="exact"/>
        <w:ind w:firstLine="643" w:firstLineChars="200"/>
        <w:outlineLvl w:val="9"/>
        <w:rPr>
          <w:rFonts w:hint="eastAsia" w:ascii="Times New Roman" w:hAnsi="Times New Roman" w:eastAsia="楷体_GB2312" w:cs="楷体_GB2312"/>
          <w:b/>
          <w:color w:val="auto"/>
          <w:sz w:val="32"/>
          <w:szCs w:val="32"/>
          <w:highlight w:val="none"/>
          <w:lang w:val="zh-CN"/>
        </w:rPr>
      </w:pPr>
      <w:r>
        <w:rPr>
          <w:rFonts w:hint="default" w:ascii="Times New Roman" w:hAnsi="Times New Roman" w:eastAsia="楷体_GB2312" w:cs="楷体_GB2312"/>
          <w:b/>
          <w:color w:val="auto"/>
          <w:sz w:val="32"/>
          <w:szCs w:val="32"/>
          <w:highlight w:val="none"/>
          <w:lang w:val="zh-CN"/>
        </w:rPr>
        <w:t>机构职能</w:t>
      </w:r>
      <w:r>
        <w:rPr>
          <w:rFonts w:hint="eastAsia" w:ascii="Times New Roman" w:hAnsi="Times New Roman" w:eastAsia="楷体_GB2312" w:cs="楷体_GB2312"/>
          <w:b/>
          <w:color w:val="auto"/>
          <w:sz w:val="32"/>
          <w:szCs w:val="32"/>
          <w:highlight w:val="none"/>
          <w:lang w:val="zh-CN"/>
        </w:rPr>
        <w:t>。</w:t>
      </w:r>
    </w:p>
    <w:p w14:paraId="66C3BE15">
      <w:pPr>
        <w:keepNext w:val="0"/>
        <w:keepLines w:val="0"/>
        <w:pageBreakBefore w:val="0"/>
        <w:numPr>
          <w:ilvl w:val="0"/>
          <w:numId w:val="0"/>
        </w:numPr>
        <w:suppressAutoHyphens/>
        <w:kinsoku/>
        <w:wordWrap/>
        <w:overflowPunct/>
        <w:topLinePunct w:val="0"/>
        <w:autoSpaceDE/>
        <w:autoSpaceDN/>
        <w:bidi w:val="0"/>
        <w:spacing w:line="576" w:lineRule="exact"/>
        <w:ind w:left="0" w:leftChars="0" w:firstLine="640" w:firstLineChars="200"/>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eastAsia" w:ascii="仿宋_GB2312" w:hAnsi="仿宋_GB2312" w:eastAsia="仿宋_GB2312" w:cs="仿宋_GB2312"/>
          <w:color w:val="auto"/>
          <w:kern w:val="2"/>
          <w:sz w:val="32"/>
          <w:szCs w:val="32"/>
          <w:highlight w:val="none"/>
          <w:lang w:val="en-US" w:eastAsia="zh-CN" w:bidi="ar-SA"/>
        </w:rPr>
        <w:t>四川省总工会成都工人疗养院坐落在成都大熊猫繁育研究基地旁，始建于1953年，是直属于四川省总工会的一所集</w:t>
      </w: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HYPERLINK "http://www.cdgrlyy.org/news20120103100103_1_1.html" \t "http://www.cdgrlyy.org/about/_blank"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健康体检</w:t>
      </w:r>
      <w:r>
        <w:rPr>
          <w:rFonts w:hint="eastAsia" w:ascii="仿宋_GB2312" w:hAnsi="仿宋_GB2312" w:eastAsia="仿宋_GB2312" w:cs="仿宋_GB2312"/>
          <w:color w:val="auto"/>
          <w:kern w:val="2"/>
          <w:sz w:val="32"/>
          <w:szCs w:val="32"/>
          <w:highlight w:val="none"/>
          <w:lang w:val="en-US" w:eastAsia="zh-CN" w:bidi="ar-SA"/>
        </w:rPr>
        <w:fldChar w:fldCharType="end"/>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HYPERLINK "http://www.cdgrlyy.org/news20120920230508_23_1.html" \t "http://www.cdgrlyy.org/about/_blank"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疗休养</w:t>
      </w:r>
      <w:r>
        <w:rPr>
          <w:rFonts w:hint="eastAsia" w:ascii="仿宋_GB2312" w:hAnsi="仿宋_GB2312" w:eastAsia="仿宋_GB2312" w:cs="仿宋_GB2312"/>
          <w:color w:val="auto"/>
          <w:kern w:val="2"/>
          <w:sz w:val="32"/>
          <w:szCs w:val="32"/>
          <w:highlight w:val="none"/>
          <w:lang w:val="en-US" w:eastAsia="zh-CN" w:bidi="ar-SA"/>
        </w:rPr>
        <w:fldChar w:fldCharType="end"/>
      </w:r>
      <w:r>
        <w:rPr>
          <w:rFonts w:hint="eastAsia" w:ascii="仿宋_GB2312" w:hAnsi="仿宋_GB2312" w:eastAsia="仿宋_GB2312" w:cs="仿宋_GB2312"/>
          <w:color w:val="auto"/>
          <w:kern w:val="2"/>
          <w:sz w:val="32"/>
          <w:szCs w:val="32"/>
          <w:highlight w:val="none"/>
          <w:lang w:val="en-US" w:eastAsia="zh-CN" w:bidi="ar-SA"/>
        </w:rPr>
        <w:t>和</w:t>
      </w: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HYPERLINK "http://www.cdgrlyy.org/news20120920230508_24_1.html" \t "http://www.cdgrlyy.org/about/_blank"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工会干部培训</w:t>
      </w:r>
      <w:r>
        <w:rPr>
          <w:rFonts w:hint="eastAsia" w:ascii="仿宋_GB2312" w:hAnsi="仿宋_GB2312" w:eastAsia="仿宋_GB2312" w:cs="仿宋_GB2312"/>
          <w:color w:val="auto"/>
          <w:kern w:val="2"/>
          <w:sz w:val="32"/>
          <w:szCs w:val="32"/>
          <w:highlight w:val="none"/>
          <w:lang w:val="en-US" w:eastAsia="zh-CN" w:bidi="ar-SA"/>
        </w:rPr>
        <w:fldChar w:fldCharType="end"/>
      </w:r>
      <w:r>
        <w:rPr>
          <w:rFonts w:hint="eastAsia" w:ascii="仿宋_GB2312" w:hAnsi="仿宋_GB2312" w:eastAsia="仿宋_GB2312" w:cs="仿宋_GB2312"/>
          <w:color w:val="auto"/>
          <w:kern w:val="2"/>
          <w:sz w:val="32"/>
          <w:szCs w:val="32"/>
          <w:highlight w:val="none"/>
          <w:lang w:val="en-US" w:eastAsia="zh-CN" w:bidi="ar-SA"/>
        </w:rPr>
        <w:t>为一体的综合型疗养院。四川省总工会健康体检中心是四川省总工会2012年4月批准设立，是四川省人民医院健康体检中心北区分部，是开展健康体检及健康管理的专业机构，主要从事健康体检、健康教育、健康与亚健康咨询以及保健管理等全方位的医疗健康服务，是四川省工会干部培训基地、劳动模范、职工疗休养基地和职工健康体检基地。</w:t>
      </w:r>
    </w:p>
    <w:p w14:paraId="216960F6">
      <w:pPr>
        <w:keepNext w:val="0"/>
        <w:keepLines w:val="0"/>
        <w:pageBreakBefore w:val="0"/>
        <w:numPr>
          <w:ilvl w:val="0"/>
          <w:numId w:val="2"/>
        </w:numPr>
        <w:suppressAutoHyphens/>
        <w:kinsoku/>
        <w:wordWrap/>
        <w:overflowPunct/>
        <w:topLinePunct w:val="0"/>
        <w:autoSpaceDE/>
        <w:autoSpaceDN/>
        <w:bidi w:val="0"/>
        <w:spacing w:line="576" w:lineRule="exact"/>
        <w:ind w:left="0" w:leftChars="0" w:firstLine="643" w:firstLineChars="200"/>
        <w:outlineLvl w:val="9"/>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p>
    <w:p w14:paraId="1D296B82">
      <w:pPr>
        <w:keepNext w:val="0"/>
        <w:keepLines w:val="0"/>
        <w:pageBreakBefore w:val="0"/>
        <w:numPr>
          <w:ilvl w:val="0"/>
          <w:numId w:val="0"/>
        </w:numPr>
        <w:suppressAutoHyphens/>
        <w:kinsoku/>
        <w:wordWrap/>
        <w:overflowPunct/>
        <w:topLinePunct w:val="0"/>
        <w:autoSpaceDE/>
        <w:autoSpaceDN/>
        <w:bidi w:val="0"/>
        <w:spacing w:line="576" w:lineRule="exact"/>
        <w:ind w:left="0" w:leftChars="0" w:firstLine="640" w:firstLineChars="200"/>
        <w:outlineLvl w:val="9"/>
        <w:rPr>
          <w:rFonts w:hint="default" w:ascii="Times New Roman" w:hAnsi="Times New Roman" w:cs="Times New Roman"/>
          <w:szCs w:val="32"/>
        </w:rPr>
      </w:pPr>
      <w:r>
        <w:rPr>
          <w:rFonts w:hint="default" w:ascii="Times New Roman" w:hAnsi="Times New Roman" w:eastAsia="仿宋_GB2312" w:cs="Times New Roman"/>
          <w:sz w:val="32"/>
          <w:szCs w:val="32"/>
          <w:lang w:val="en-US" w:eastAsia="zh-CN"/>
        </w:rPr>
        <w:t>截至202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年末，</w:t>
      </w:r>
      <w:r>
        <w:rPr>
          <w:rFonts w:hint="eastAsia" w:ascii="仿宋_GB2312" w:hAnsi="仿宋_GB2312" w:eastAsia="仿宋_GB2312" w:cs="仿宋_GB2312"/>
          <w:color w:val="auto"/>
          <w:kern w:val="2"/>
          <w:sz w:val="32"/>
          <w:szCs w:val="32"/>
          <w:highlight w:val="none"/>
          <w:lang w:val="en-US" w:eastAsia="zh-CN" w:bidi="ar-SA"/>
        </w:rPr>
        <w:t>我院编制人数148人，在职人员年末数</w:t>
      </w:r>
      <w:r>
        <w:rPr>
          <w:rFonts w:hint="eastAsia" w:ascii="仿宋_GB2312" w:hAnsi="仿宋_GB2312" w:cs="仿宋_GB2312"/>
          <w:color w:val="auto"/>
          <w:kern w:val="2"/>
          <w:sz w:val="32"/>
          <w:szCs w:val="32"/>
          <w:highlight w:val="none"/>
          <w:lang w:val="en-US" w:eastAsia="zh-CN" w:bidi="ar-SA"/>
        </w:rPr>
        <w:t>20</w:t>
      </w:r>
      <w:r>
        <w:rPr>
          <w:rFonts w:hint="eastAsia" w:ascii="仿宋_GB2312" w:hAnsi="仿宋_GB2312" w:eastAsia="仿宋_GB2312" w:cs="仿宋_GB2312"/>
          <w:color w:val="auto"/>
          <w:kern w:val="2"/>
          <w:sz w:val="32"/>
          <w:szCs w:val="32"/>
          <w:highlight w:val="none"/>
          <w:lang w:val="en-US" w:eastAsia="zh-CN" w:bidi="ar-SA"/>
        </w:rPr>
        <w:t>人；离休人员年末数3人；退休人员年末数</w:t>
      </w:r>
      <w:r>
        <w:rPr>
          <w:rFonts w:hint="eastAsia" w:ascii="仿宋_GB2312" w:hAnsi="仿宋_GB2312" w:cs="仿宋_GB2312"/>
          <w:color w:val="auto"/>
          <w:kern w:val="2"/>
          <w:sz w:val="32"/>
          <w:szCs w:val="32"/>
          <w:highlight w:val="none"/>
          <w:lang w:val="en-US" w:eastAsia="zh-CN" w:bidi="ar-SA"/>
        </w:rPr>
        <w:t>116</w:t>
      </w:r>
      <w:r>
        <w:rPr>
          <w:rFonts w:hint="eastAsia" w:ascii="仿宋_GB2312" w:hAnsi="仿宋_GB2312" w:eastAsia="仿宋_GB2312" w:cs="仿宋_GB2312"/>
          <w:color w:val="auto"/>
          <w:kern w:val="2"/>
          <w:sz w:val="32"/>
          <w:szCs w:val="32"/>
          <w:highlight w:val="none"/>
          <w:lang w:val="en-US" w:eastAsia="zh-CN" w:bidi="ar-SA"/>
        </w:rPr>
        <w:t>人。</w:t>
      </w:r>
    </w:p>
    <w:p w14:paraId="06CF01A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w:t>
      </w:r>
      <w:r>
        <w:rPr>
          <w:rFonts w:hint="eastAsia" w:eastAsia="黑体" w:cs="Times New Roman"/>
          <w:color w:val="000000"/>
          <w:kern w:val="0"/>
          <w:sz w:val="32"/>
          <w:szCs w:val="32"/>
          <w:highlight w:val="none"/>
          <w:shd w:val="clear" w:color="auto" w:fill="FFFFFF"/>
          <w:lang w:val="zh-CN" w:eastAsia="zh-CN"/>
        </w:rPr>
        <w:t>单位财政</w:t>
      </w:r>
      <w:r>
        <w:rPr>
          <w:rFonts w:hint="default" w:ascii="Times New Roman" w:hAnsi="Times New Roman" w:eastAsia="黑体" w:cs="Times New Roman"/>
          <w:color w:val="000000"/>
          <w:kern w:val="0"/>
          <w:sz w:val="32"/>
          <w:szCs w:val="32"/>
          <w:highlight w:val="none"/>
          <w:shd w:val="clear" w:color="auto" w:fill="FFFFFF"/>
          <w:lang w:val="zh-CN" w:eastAsia="zh-CN"/>
        </w:rPr>
        <w:t>资金收支情况</w:t>
      </w:r>
    </w:p>
    <w:p w14:paraId="1DEDFE3A">
      <w:pPr>
        <w:keepNext w:val="0"/>
        <w:keepLines w:val="0"/>
        <w:pageBreakBefore w:val="0"/>
        <w:suppressAutoHyphens/>
        <w:kinsoku/>
        <w:wordWrap/>
        <w:overflowPunct/>
        <w:topLinePunct w:val="0"/>
        <w:autoSpaceDE/>
        <w:autoSpaceDN/>
        <w:bidi w:val="0"/>
        <w:spacing w:line="576" w:lineRule="exact"/>
        <w:ind w:firstLine="643" w:firstLineChars="200"/>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46FE83BF">
      <w:pPr>
        <w:keepNext w:val="0"/>
        <w:keepLines w:val="0"/>
        <w:pageBreakBefore w:val="0"/>
        <w:numPr>
          <w:ilvl w:val="0"/>
          <w:numId w:val="0"/>
        </w:numPr>
        <w:suppressAutoHyphens/>
        <w:kinsoku/>
        <w:wordWrap/>
        <w:overflowPunct/>
        <w:topLinePunct w:val="0"/>
        <w:autoSpaceDE/>
        <w:autoSpaceDN/>
        <w:bidi w:val="0"/>
        <w:spacing w:line="576" w:lineRule="exact"/>
        <w:ind w:left="0" w:leftChars="0" w:firstLine="640" w:firstLineChars="200"/>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2024年财政拨款收入262.28万元。</w:t>
      </w:r>
    </w:p>
    <w:p w14:paraId="117087CD">
      <w:pPr>
        <w:keepNext w:val="0"/>
        <w:keepLines w:val="0"/>
        <w:pageBreakBefore w:val="0"/>
        <w:numPr>
          <w:ilvl w:val="0"/>
          <w:numId w:val="0"/>
        </w:numPr>
        <w:suppressAutoHyphens/>
        <w:kinsoku/>
        <w:wordWrap/>
        <w:overflowPunct/>
        <w:topLinePunct w:val="0"/>
        <w:autoSpaceDE/>
        <w:autoSpaceDN/>
        <w:bidi w:val="0"/>
        <w:spacing w:line="576" w:lineRule="exact"/>
        <w:ind w:left="0" w:leftChars="0" w:firstLine="640" w:firstLineChars="200"/>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其中：离休费67.87万元，其他对个人和家庭补助41.49万元，离退休公用经费4.22万元，基本养老保险49.71万元，基本医疗保险30.14万元，失业保险1.87万元，工伤保险0.47万元，职业年金24.86万元，住房公积金41.65万元。</w:t>
      </w:r>
    </w:p>
    <w:p w14:paraId="1A585A49">
      <w:pPr>
        <w:keepNext w:val="0"/>
        <w:keepLines w:val="0"/>
        <w:pageBreakBefore w:val="0"/>
        <w:numPr>
          <w:ilvl w:val="0"/>
          <w:numId w:val="3"/>
        </w:numPr>
        <w:suppressAutoHyphens/>
        <w:kinsoku/>
        <w:wordWrap/>
        <w:overflowPunct/>
        <w:topLinePunct w:val="0"/>
        <w:autoSpaceDE/>
        <w:autoSpaceDN/>
        <w:bidi w:val="0"/>
        <w:spacing w:line="576" w:lineRule="exact"/>
        <w:ind w:firstLine="643" w:firstLineChars="200"/>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244903F2">
      <w:pPr>
        <w:keepNext w:val="0"/>
        <w:keepLines w:val="0"/>
        <w:pageBreakBefore w:val="0"/>
        <w:numPr>
          <w:ilvl w:val="0"/>
          <w:numId w:val="0"/>
        </w:numPr>
        <w:suppressAutoHyphens/>
        <w:kinsoku/>
        <w:wordWrap/>
        <w:overflowPunct/>
        <w:topLinePunct w:val="0"/>
        <w:autoSpaceDE/>
        <w:autoSpaceDN/>
        <w:bidi w:val="0"/>
        <w:spacing w:line="576" w:lineRule="exact"/>
        <w:ind w:left="0" w:leftChars="0" w:firstLine="640" w:firstLineChars="200"/>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2024年财政拨款支出262.28万元。</w:t>
      </w:r>
    </w:p>
    <w:p w14:paraId="50924FCC">
      <w:pPr>
        <w:keepNext w:val="0"/>
        <w:keepLines w:val="0"/>
        <w:pageBreakBefore w:val="0"/>
        <w:numPr>
          <w:ilvl w:val="0"/>
          <w:numId w:val="0"/>
        </w:numPr>
        <w:suppressAutoHyphens/>
        <w:kinsoku/>
        <w:wordWrap/>
        <w:overflowPunct/>
        <w:topLinePunct w:val="0"/>
        <w:autoSpaceDE/>
        <w:autoSpaceDN/>
        <w:bidi w:val="0"/>
        <w:spacing w:line="576" w:lineRule="exact"/>
        <w:ind w:left="0" w:leftChars="0" w:firstLine="640" w:firstLineChars="200"/>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eastAsia" w:ascii="仿宋_GB2312" w:hAnsi="仿宋_GB2312" w:eastAsia="仿宋_GB2312" w:cs="仿宋_GB2312"/>
          <w:color w:val="auto"/>
          <w:kern w:val="2"/>
          <w:sz w:val="32"/>
          <w:szCs w:val="32"/>
          <w:highlight w:val="none"/>
          <w:lang w:val="en-US" w:eastAsia="zh-CN" w:bidi="ar-SA"/>
        </w:rPr>
        <w:t>其中：离休费67.87万元，其他对个人和家庭补助41.49万元，离退休公用经费4.22万元，基本养老保险49.71万元，基本医疗保险30.14万元，失业保险1.87万元，工伤保险0.47万元，职业年金24.86万元，住房公积金41.65万元。</w:t>
      </w:r>
    </w:p>
    <w:p w14:paraId="7E9AACE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w:t>
      </w:r>
      <w:r>
        <w:rPr>
          <w:rFonts w:hint="eastAsia" w:eastAsia="黑体" w:cs="Times New Roman"/>
          <w:color w:val="000000"/>
          <w:kern w:val="0"/>
          <w:sz w:val="32"/>
          <w:szCs w:val="32"/>
          <w:highlight w:val="none"/>
          <w:shd w:val="clear" w:color="auto" w:fill="FFFFFF"/>
          <w:lang w:val="zh-CN" w:eastAsia="zh-CN"/>
        </w:rPr>
        <w:t>单位</w:t>
      </w:r>
      <w:r>
        <w:rPr>
          <w:rFonts w:hint="default" w:ascii="Times New Roman" w:hAnsi="Times New Roman" w:eastAsia="黑体" w:cs="Times New Roman"/>
          <w:color w:val="000000"/>
          <w:kern w:val="0"/>
          <w:sz w:val="32"/>
          <w:szCs w:val="32"/>
          <w:highlight w:val="none"/>
          <w:shd w:val="clear" w:color="auto" w:fill="FFFFFF"/>
          <w:lang w:val="zh-CN" w:eastAsia="zh-CN"/>
        </w:rPr>
        <w:t>预算绩效分析</w:t>
      </w:r>
    </w:p>
    <w:p w14:paraId="160AD9D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eastAsia="楷体_GB2312" w:cs="Times New Roman"/>
          <w:b/>
          <w:bCs/>
          <w:color w:val="000000"/>
          <w:kern w:val="0"/>
          <w:sz w:val="32"/>
          <w:szCs w:val="32"/>
          <w:highlight w:val="none"/>
          <w:shd w:val="clear" w:color="auto" w:fill="FFFFFF"/>
          <w:lang w:val="zh-CN"/>
        </w:rPr>
        <w:t>单</w:t>
      </w:r>
      <w:r>
        <w:rPr>
          <w:rFonts w:hint="eastAsia" w:ascii="Times New Roman" w:hAnsi="Times New Roman" w:eastAsia="楷体_GB2312" w:cs="Times New Roman"/>
          <w:b/>
          <w:bCs/>
          <w:color w:val="000000"/>
          <w:kern w:val="0"/>
          <w:sz w:val="32"/>
          <w:szCs w:val="32"/>
          <w:highlight w:val="none"/>
          <w:shd w:val="clear" w:color="auto" w:fill="FFFFFF"/>
          <w:lang w:val="zh-CN"/>
        </w:rPr>
        <w:t>位预算管理</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559F321F">
      <w:pPr>
        <w:keepNext w:val="0"/>
        <w:keepLines w:val="0"/>
        <w:pageBreakBefore w:val="0"/>
        <w:numPr>
          <w:ilvl w:val="0"/>
          <w:numId w:val="0"/>
        </w:numPr>
        <w:suppressAutoHyphens/>
        <w:kinsoku/>
        <w:wordWrap/>
        <w:overflowPunct/>
        <w:topLinePunct w:val="0"/>
        <w:autoSpaceDE/>
        <w:autoSpaceDN/>
        <w:bidi w:val="0"/>
        <w:spacing w:line="576" w:lineRule="exact"/>
        <w:ind w:left="0" w:leftChars="0" w:firstLine="640" w:firstLineChars="200"/>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1.绩效目标制定</w:t>
      </w:r>
    </w:p>
    <w:p w14:paraId="209E34DA">
      <w:pPr>
        <w:keepNext w:val="0"/>
        <w:keepLines w:val="0"/>
        <w:pageBreakBefore w:val="0"/>
        <w:numPr>
          <w:ilvl w:val="0"/>
          <w:numId w:val="0"/>
        </w:numPr>
        <w:suppressAutoHyphens/>
        <w:kinsoku/>
        <w:wordWrap/>
        <w:overflowPunct/>
        <w:topLinePunct w:val="0"/>
        <w:autoSpaceDE/>
        <w:autoSpaceDN/>
        <w:bidi w:val="0"/>
        <w:spacing w:line="576" w:lineRule="exact"/>
        <w:ind w:left="0" w:leftChars="0" w:firstLine="640" w:firstLineChars="200"/>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单位绩效目标编制要素完整，将在职人员保险、职业年金、住房公积金、离休人员离休费及生活补助等财政拨款补助事项的经费收支纳入了部门预算管理；绩效指标细化量化，人员经费测算按照人数、标准测算，测算依据完整。</w:t>
      </w:r>
    </w:p>
    <w:p w14:paraId="20D1998C">
      <w:pPr>
        <w:keepNext w:val="0"/>
        <w:keepLines w:val="0"/>
        <w:pageBreakBefore w:val="0"/>
        <w:numPr>
          <w:ilvl w:val="0"/>
          <w:numId w:val="0"/>
        </w:numPr>
        <w:suppressAutoHyphens/>
        <w:kinsoku/>
        <w:wordWrap/>
        <w:overflowPunct/>
        <w:topLinePunct w:val="0"/>
        <w:autoSpaceDE/>
        <w:autoSpaceDN/>
        <w:bidi w:val="0"/>
        <w:spacing w:line="576" w:lineRule="exact"/>
        <w:ind w:left="0" w:leftChars="0" w:firstLine="640" w:firstLineChars="200"/>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2.目标完成</w:t>
      </w:r>
    </w:p>
    <w:p w14:paraId="70118D29">
      <w:pPr>
        <w:keepNext w:val="0"/>
        <w:keepLines w:val="0"/>
        <w:pageBreakBefore w:val="0"/>
        <w:numPr>
          <w:ilvl w:val="0"/>
          <w:numId w:val="0"/>
        </w:numPr>
        <w:suppressAutoHyphens/>
        <w:kinsoku/>
        <w:wordWrap/>
        <w:overflowPunct/>
        <w:topLinePunct w:val="0"/>
        <w:autoSpaceDE/>
        <w:autoSpaceDN/>
        <w:bidi w:val="0"/>
        <w:spacing w:line="576" w:lineRule="exact"/>
        <w:ind w:left="0" w:leftChars="0" w:firstLine="640" w:firstLineChars="200"/>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我院2024年度收入支出预算实际执行262.28万元，较上年执行数146.9万元增加115.38万元，增加78.5%。</w:t>
      </w:r>
    </w:p>
    <w:p w14:paraId="62BFEC37">
      <w:pPr>
        <w:keepNext w:val="0"/>
        <w:keepLines w:val="0"/>
        <w:pageBreakBefore w:val="0"/>
        <w:numPr>
          <w:ilvl w:val="0"/>
          <w:numId w:val="0"/>
        </w:numPr>
        <w:suppressAutoHyphens/>
        <w:kinsoku/>
        <w:wordWrap/>
        <w:overflowPunct/>
        <w:topLinePunct w:val="0"/>
        <w:autoSpaceDE/>
        <w:autoSpaceDN/>
        <w:bidi w:val="0"/>
        <w:spacing w:line="576" w:lineRule="exact"/>
        <w:ind w:left="0" w:leftChars="0" w:firstLine="640" w:firstLineChars="200"/>
        <w:outlineLvl w:val="9"/>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w:t>
      </w:r>
      <w:r>
        <w:rPr>
          <w:rFonts w:hint="eastAsia" w:ascii="仿宋_GB2312" w:hAnsi="仿宋_GB2312" w:eastAsia="仿宋_GB2312" w:cs="仿宋_GB2312"/>
          <w:color w:val="auto"/>
          <w:kern w:val="2"/>
          <w:sz w:val="32"/>
          <w:szCs w:val="32"/>
          <w:highlight w:val="none"/>
          <w:lang w:val="zh-CN" w:eastAsia="zh-CN" w:bidi="ar-SA"/>
        </w:rPr>
        <w:t>执行进度</w:t>
      </w:r>
    </w:p>
    <w:p w14:paraId="232B39B4">
      <w:pPr>
        <w:keepNext w:val="0"/>
        <w:keepLines w:val="0"/>
        <w:pageBreakBefore w:val="0"/>
        <w:numPr>
          <w:ilvl w:val="0"/>
          <w:numId w:val="0"/>
        </w:numPr>
        <w:suppressAutoHyphens/>
        <w:kinsoku/>
        <w:wordWrap/>
        <w:overflowPunct/>
        <w:topLinePunct w:val="0"/>
        <w:autoSpaceDE/>
        <w:autoSpaceDN/>
        <w:bidi w:val="0"/>
        <w:spacing w:line="576" w:lineRule="exact"/>
        <w:ind w:left="0" w:leftChars="0" w:firstLine="640" w:firstLineChars="200"/>
        <w:outlineLvl w:val="9"/>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部门预算执行进度在6、9、12月实际支出进度分别达到49.8%、69.1%、100%。</w:t>
      </w:r>
    </w:p>
    <w:p w14:paraId="320F90E3">
      <w:pPr>
        <w:keepNext w:val="0"/>
        <w:keepLines w:val="0"/>
        <w:pageBreakBefore w:val="0"/>
        <w:numPr>
          <w:ilvl w:val="0"/>
          <w:numId w:val="0"/>
        </w:numPr>
        <w:suppressAutoHyphens/>
        <w:kinsoku/>
        <w:wordWrap/>
        <w:overflowPunct/>
        <w:topLinePunct w:val="0"/>
        <w:autoSpaceDE/>
        <w:autoSpaceDN/>
        <w:bidi w:val="0"/>
        <w:spacing w:line="576" w:lineRule="exact"/>
        <w:ind w:left="0" w:leftChars="0" w:firstLine="640" w:firstLineChars="200"/>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4.预算完成情况</w:t>
      </w:r>
    </w:p>
    <w:p w14:paraId="74B9A856">
      <w:pPr>
        <w:keepNext w:val="0"/>
        <w:keepLines w:val="0"/>
        <w:pageBreakBefore w:val="0"/>
        <w:numPr>
          <w:ilvl w:val="0"/>
          <w:numId w:val="0"/>
        </w:numPr>
        <w:suppressAutoHyphens/>
        <w:kinsoku/>
        <w:wordWrap/>
        <w:overflowPunct/>
        <w:topLinePunct w:val="0"/>
        <w:autoSpaceDE/>
        <w:autoSpaceDN/>
        <w:bidi w:val="0"/>
        <w:spacing w:line="576" w:lineRule="exact"/>
        <w:ind w:left="0" w:leftChars="0" w:firstLine="640" w:firstLineChars="200"/>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（1）收入预算：2024年初预算总收入225万元，实际执行数为262.28万元，完成预算总收入的116.6%。</w:t>
      </w:r>
    </w:p>
    <w:p w14:paraId="108CC068">
      <w:pPr>
        <w:keepNext w:val="0"/>
        <w:keepLines w:val="0"/>
        <w:pageBreakBefore w:val="0"/>
        <w:numPr>
          <w:ilvl w:val="0"/>
          <w:numId w:val="0"/>
        </w:numPr>
        <w:suppressAutoHyphens/>
        <w:kinsoku/>
        <w:wordWrap/>
        <w:overflowPunct/>
        <w:topLinePunct w:val="0"/>
        <w:autoSpaceDE/>
        <w:autoSpaceDN/>
        <w:bidi w:val="0"/>
        <w:spacing w:line="576" w:lineRule="exact"/>
        <w:ind w:left="0" w:leftChars="0" w:firstLine="640" w:firstLineChars="200"/>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（2）支出预算：2024年初预算总支出225万元，实际执行数为262.28万元，完成预算总支出的116.6%。</w:t>
      </w:r>
    </w:p>
    <w:p w14:paraId="20E4FC87">
      <w:pPr>
        <w:keepNext w:val="0"/>
        <w:keepLines w:val="0"/>
        <w:pageBreakBefore w:val="0"/>
        <w:numPr>
          <w:ilvl w:val="0"/>
          <w:numId w:val="0"/>
        </w:numPr>
        <w:suppressAutoHyphens/>
        <w:kinsoku/>
        <w:wordWrap/>
        <w:overflowPunct/>
        <w:topLinePunct w:val="0"/>
        <w:autoSpaceDE/>
        <w:autoSpaceDN/>
        <w:bidi w:val="0"/>
        <w:spacing w:line="576" w:lineRule="exact"/>
        <w:ind w:left="0" w:leftChars="0" w:firstLine="640" w:firstLineChars="200"/>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无违规记录。</w:t>
      </w:r>
    </w:p>
    <w:p w14:paraId="50B22D9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en-US" w:eastAsia="zh-CN"/>
        </w:rPr>
      </w:pPr>
      <w:r>
        <w:rPr>
          <w:rFonts w:hint="eastAsia" w:ascii="Times New Roman" w:hAnsi="Times New Roman" w:eastAsia="楷体_GB2312" w:cs="Times New Roman"/>
          <w:b/>
          <w:bCs/>
          <w:color w:val="000000"/>
          <w:kern w:val="0"/>
          <w:sz w:val="32"/>
          <w:szCs w:val="32"/>
          <w:highlight w:val="none"/>
          <w:shd w:val="clear" w:color="auto" w:fill="FFFFFF"/>
          <w:lang w:val="zh-CN"/>
        </w:rPr>
        <w:t>（二）单位</w:t>
      </w:r>
      <w:r>
        <w:rPr>
          <w:rFonts w:hint="default" w:ascii="Times New Roman" w:hAnsi="Times New Roman" w:eastAsia="楷体_GB2312" w:cs="Times New Roman"/>
          <w:b/>
          <w:bCs/>
          <w:color w:val="000000"/>
          <w:kern w:val="0"/>
          <w:sz w:val="32"/>
          <w:szCs w:val="32"/>
          <w:highlight w:val="none"/>
          <w:shd w:val="clear" w:color="auto" w:fill="FFFFFF"/>
          <w:lang w:val="zh-CN"/>
        </w:rPr>
        <w:t>预算项目绩效分析。</w:t>
      </w:r>
    </w:p>
    <w:p w14:paraId="6F4F75F3">
      <w:pPr>
        <w:keepNext w:val="0"/>
        <w:keepLines w:val="0"/>
        <w:pageBreakBefore w:val="0"/>
        <w:widowControl w:val="0"/>
        <w:numPr>
          <w:ilvl w:val="0"/>
          <w:numId w:val="0"/>
        </w:numPr>
        <w:kinsoku/>
        <w:wordWrap/>
        <w:overflowPunct/>
        <w:topLinePunct w:val="0"/>
        <w:autoSpaceDE/>
        <w:autoSpaceDN/>
        <w:bidi w:val="0"/>
        <w:snapToGrid w:val="0"/>
        <w:spacing w:line="576"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1.人员类项目绩效分析</w:t>
      </w:r>
    </w:p>
    <w:p w14:paraId="661F77FC">
      <w:pPr>
        <w:keepNext w:val="0"/>
        <w:keepLines w:val="0"/>
        <w:pageBreakBefore w:val="0"/>
        <w:widowControl w:val="0"/>
        <w:numPr>
          <w:ilvl w:val="0"/>
          <w:numId w:val="0"/>
        </w:numPr>
        <w:kinsoku/>
        <w:wordWrap/>
        <w:overflowPunct/>
        <w:topLinePunct w:val="0"/>
        <w:autoSpaceDE/>
        <w:autoSpaceDN/>
        <w:bidi w:val="0"/>
        <w:snapToGrid w:val="0"/>
        <w:spacing w:line="576"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我单位有人员类项目3个，具体如下：</w:t>
      </w:r>
    </w:p>
    <w:p w14:paraId="19BEB5E8">
      <w:pPr>
        <w:keepNext w:val="0"/>
        <w:keepLines w:val="0"/>
        <w:pageBreakBefore w:val="0"/>
        <w:widowControl w:val="0"/>
        <w:numPr>
          <w:ilvl w:val="0"/>
          <w:numId w:val="0"/>
        </w:numPr>
        <w:kinsoku/>
        <w:wordWrap/>
        <w:overflowPunct/>
        <w:topLinePunct w:val="0"/>
        <w:autoSpaceDE/>
        <w:autoSpaceDN/>
        <w:bidi w:val="0"/>
        <w:snapToGrid w:val="0"/>
        <w:spacing w:line="576"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单位缴费项目，项目实施内容为：在职人员保险、职业年金、住房公积金等单位缴费。年初预算数为160.35万元，调整后预算数为148.82万元，调整预算原因为2024年在职人员6人相继退休，单位缴费支出减少。预算执行数为148.7万元，预算执行率达99.9%。预算结余资金为1264.01元，为预算下达数与实际发生数差异，该项财政资金结余已由财政统一收回。无违规记录。</w:t>
      </w:r>
    </w:p>
    <w:p w14:paraId="6EE97294">
      <w:pPr>
        <w:keepNext w:val="0"/>
        <w:keepLines w:val="0"/>
        <w:pageBreakBefore w:val="0"/>
        <w:widowControl w:val="0"/>
        <w:numPr>
          <w:ilvl w:val="0"/>
          <w:numId w:val="0"/>
        </w:numPr>
        <w:kinsoku/>
        <w:wordWrap/>
        <w:overflowPunct/>
        <w:topLinePunct w:val="0"/>
        <w:autoSpaceDE/>
        <w:autoSpaceDN/>
        <w:bidi w:val="0"/>
        <w:snapToGrid w:val="0"/>
        <w:spacing w:line="576"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离退休费项目，项目实施内容为：离休人员工资发放。年初预算数为57.51万元，调整后预算数为67.88万元，调整预算为追加离休人员离休费调增部分。预算执行数为67.87万元，预算执行率达99.9%。预算结余资金为41.6元，为预算下达数与实际发放数差异，该项财政资金结余已由财政统一收回。无违规记录。</w:t>
      </w:r>
    </w:p>
    <w:p w14:paraId="2991888B">
      <w:pPr>
        <w:keepNext w:val="0"/>
        <w:keepLines w:val="0"/>
        <w:pageBreakBefore w:val="0"/>
        <w:widowControl w:val="0"/>
        <w:numPr>
          <w:ilvl w:val="0"/>
          <w:numId w:val="0"/>
        </w:numPr>
        <w:kinsoku/>
        <w:wordWrap/>
        <w:overflowPunct/>
        <w:topLinePunct w:val="0"/>
        <w:autoSpaceDE/>
        <w:autoSpaceDN/>
        <w:bidi w:val="0"/>
        <w:snapToGrid w:val="0"/>
        <w:spacing w:line="576"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（3）其他补助支出项目，项目实施内容为：离休人员、630人员困难补助及离休人员一次性生活补助发放。年初预算数为2.92万元</w:t>
      </w:r>
      <w:r>
        <w:rPr>
          <w:rFonts w:hint="eastAsia" w:ascii="仿宋_GB2312" w:hAnsi="仿宋" w:eastAsia="仿宋_GB2312" w:cs="Times New Roman"/>
          <w:color w:val="auto"/>
          <w:sz w:val="32"/>
          <w:szCs w:val="32"/>
          <w:lang w:val="en-US" w:eastAsia="zh-CN"/>
        </w:rPr>
        <w:t>，调整后预算</w:t>
      </w:r>
      <w:r>
        <w:rPr>
          <w:rFonts w:hint="eastAsia" w:ascii="仿宋_GB2312" w:hAnsi="仿宋" w:eastAsia="仿宋_GB2312" w:cs="Times New Roman"/>
          <w:sz w:val="32"/>
          <w:szCs w:val="32"/>
          <w:lang w:val="en-US" w:eastAsia="zh-CN"/>
        </w:rPr>
        <w:t>数为41.49万元，调整预算为追加离退休人员一次性生活补助。预算执行数为41.49万元，预算执行率达100%。无违规记录。</w:t>
      </w:r>
    </w:p>
    <w:p w14:paraId="77F5C25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宋体" w:eastAsia="仿宋_GB2312" w:cs="宋体"/>
          <w:color w:val="000000"/>
          <w:kern w:val="0"/>
          <w:sz w:val="32"/>
          <w:szCs w:val="32"/>
          <w:highlight w:val="none"/>
          <w:shd w:val="clear" w:color="auto" w:fill="FFFFFF"/>
          <w:lang w:val="en-US" w:eastAsia="zh-CN"/>
        </w:rPr>
      </w:pPr>
      <w:r>
        <w:rPr>
          <w:rFonts w:hint="eastAsia" w:ascii="仿宋_GB2312" w:hAnsi="宋体" w:eastAsia="仿宋_GB2312" w:cs="宋体"/>
          <w:color w:val="000000"/>
          <w:kern w:val="0"/>
          <w:sz w:val="32"/>
          <w:szCs w:val="32"/>
          <w:highlight w:val="none"/>
          <w:shd w:val="clear" w:color="auto" w:fill="FFFFFF"/>
          <w:lang w:val="en-US" w:eastAsia="zh-CN"/>
        </w:rPr>
        <w:t>2.运转类项目绩效分析</w:t>
      </w:r>
    </w:p>
    <w:p w14:paraId="6D6630A9">
      <w:pPr>
        <w:keepNext w:val="0"/>
        <w:keepLines w:val="0"/>
        <w:pageBreakBefore w:val="0"/>
        <w:widowControl w:val="0"/>
        <w:numPr>
          <w:ilvl w:val="0"/>
          <w:numId w:val="0"/>
        </w:numPr>
        <w:kinsoku/>
        <w:wordWrap/>
        <w:overflowPunct/>
        <w:topLinePunct w:val="0"/>
        <w:autoSpaceDE/>
        <w:autoSpaceDN/>
        <w:bidi w:val="0"/>
        <w:snapToGrid w:val="0"/>
        <w:spacing w:line="576"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我单位有运转类项目1个：</w:t>
      </w:r>
    </w:p>
    <w:p w14:paraId="46DBEB48">
      <w:pPr>
        <w:keepNext w:val="0"/>
        <w:keepLines w:val="0"/>
        <w:pageBreakBefore w:val="0"/>
        <w:widowControl w:val="0"/>
        <w:numPr>
          <w:ilvl w:val="0"/>
          <w:numId w:val="0"/>
        </w:numPr>
        <w:kinsoku/>
        <w:wordWrap/>
        <w:overflowPunct/>
        <w:topLinePunct w:val="0"/>
        <w:autoSpaceDE/>
        <w:autoSpaceDN/>
        <w:bidi w:val="0"/>
        <w:snapToGrid w:val="0"/>
        <w:spacing w:line="576" w:lineRule="exact"/>
        <w:ind w:firstLine="640" w:firstLineChars="200"/>
        <w:jc w:val="both"/>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sz w:val="32"/>
          <w:szCs w:val="32"/>
          <w:lang w:val="en-US" w:eastAsia="zh-CN"/>
        </w:rPr>
        <w:t>离退休公用项目，项目实施内容为：离退休人员公用经费。2024年年初预算数为4.22万元，预算执行数为4.22万元，预算执行率达为</w:t>
      </w:r>
      <w:r>
        <w:rPr>
          <w:rFonts w:hint="eastAsia" w:ascii="仿宋_GB2312" w:hAnsi="仿宋" w:eastAsia="仿宋_GB2312" w:cs="Times New Roman"/>
          <w:color w:val="auto"/>
          <w:sz w:val="32"/>
          <w:szCs w:val="32"/>
          <w:lang w:val="en-US" w:eastAsia="zh-CN"/>
        </w:rPr>
        <w:t>100%。无违规记录。</w:t>
      </w:r>
    </w:p>
    <w:p w14:paraId="3F94336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3.特定目标类项目绩效分析</w:t>
      </w:r>
    </w:p>
    <w:p w14:paraId="7BB20192">
      <w:pPr>
        <w:keepNext w:val="0"/>
        <w:keepLines w:val="0"/>
        <w:pageBreakBefore w:val="0"/>
        <w:widowControl w:val="0"/>
        <w:numPr>
          <w:ilvl w:val="0"/>
          <w:numId w:val="0"/>
        </w:numPr>
        <w:kinsoku/>
        <w:wordWrap/>
        <w:overflowPunct/>
        <w:topLinePunct w:val="0"/>
        <w:autoSpaceDE/>
        <w:autoSpaceDN/>
        <w:bidi w:val="0"/>
        <w:snapToGrid w:val="0"/>
        <w:spacing w:line="576" w:lineRule="exact"/>
        <w:ind w:firstLine="640" w:firstLineChars="200"/>
        <w:jc w:val="both"/>
        <w:rPr>
          <w:rFonts w:hint="eastAsia" w:ascii="Times New Roman" w:hAnsi="Times New Roman" w:eastAsia="仿宋_GB2312" w:cs="Times New Roman"/>
          <w:sz w:val="32"/>
          <w:szCs w:val="32"/>
          <w:highlight w:val="none"/>
          <w:lang w:val="en-US" w:eastAsia="zh-CN"/>
        </w:rPr>
      </w:pPr>
      <w:r>
        <w:rPr>
          <w:rFonts w:hint="eastAsia" w:ascii="仿宋_GB2312" w:hAnsi="仿宋" w:eastAsia="仿宋_GB2312" w:cs="Times New Roman"/>
          <w:color w:val="auto"/>
          <w:sz w:val="32"/>
          <w:szCs w:val="32"/>
          <w:lang w:val="en-US" w:eastAsia="zh-CN"/>
        </w:rPr>
        <w:t>我单位无特定目标类项目。</w:t>
      </w:r>
    </w:p>
    <w:p w14:paraId="7E372640">
      <w:pPr>
        <w:keepNext w:val="0"/>
        <w:keepLines w:val="0"/>
        <w:pageBreakBefore w:val="0"/>
        <w:numPr>
          <w:ilvl w:val="0"/>
          <w:numId w:val="3"/>
        </w:numPr>
        <w:kinsoku/>
        <w:wordWrap/>
        <w:overflowPunct/>
        <w:topLinePunct w:val="0"/>
        <w:autoSpaceDE/>
        <w:autoSpaceDN/>
        <w:bidi w:val="0"/>
        <w:spacing w:line="576" w:lineRule="exact"/>
        <w:ind w:left="0" w:leftChars="0" w:firstLine="643" w:firstLineChars="200"/>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eastAsia" w:eastAsia="楷体_GB2312" w:cs="Times New Roman"/>
          <w:b/>
          <w:bCs/>
          <w:color w:val="000000"/>
          <w:kern w:val="0"/>
          <w:sz w:val="32"/>
          <w:szCs w:val="32"/>
          <w:highlight w:val="none"/>
          <w:shd w:val="clear" w:color="auto" w:fill="FFFFFF"/>
          <w:lang w:val="zh-CN" w:eastAsia="zh-CN"/>
        </w:rPr>
        <w:t>单位</w:t>
      </w:r>
      <w:r>
        <w:rPr>
          <w:rFonts w:hint="default" w:ascii="Times New Roman" w:hAnsi="Times New Roman" w:eastAsia="楷体_GB2312" w:cs="Times New Roman"/>
          <w:b/>
          <w:bCs/>
          <w:color w:val="000000"/>
          <w:kern w:val="0"/>
          <w:sz w:val="32"/>
          <w:szCs w:val="32"/>
          <w:highlight w:val="none"/>
          <w:shd w:val="clear" w:color="auto" w:fill="FFFFFF"/>
          <w:lang w:val="zh-CN" w:eastAsia="zh-CN"/>
        </w:rPr>
        <w:t>整体履职绩效分析</w:t>
      </w:r>
      <w:r>
        <w:rPr>
          <w:rFonts w:hint="eastAsia" w:eastAsia="楷体_GB2312" w:cs="Times New Roman"/>
          <w:b/>
          <w:bCs/>
          <w:color w:val="000000"/>
          <w:kern w:val="0"/>
          <w:sz w:val="32"/>
          <w:szCs w:val="32"/>
          <w:highlight w:val="none"/>
          <w:shd w:val="clear" w:color="auto" w:fill="FFFFFF"/>
          <w:lang w:val="zh-CN" w:eastAsia="zh-CN"/>
        </w:rPr>
        <w:t>。</w:t>
      </w:r>
    </w:p>
    <w:p w14:paraId="7F4A4ECD">
      <w:pPr>
        <w:keepNext w:val="0"/>
        <w:keepLines w:val="0"/>
        <w:pageBreakBefore w:val="0"/>
        <w:numPr>
          <w:ilvl w:val="0"/>
          <w:numId w:val="0"/>
        </w:numPr>
        <w:kinsoku/>
        <w:wordWrap/>
        <w:overflowPunct/>
        <w:topLinePunct w:val="0"/>
        <w:autoSpaceDE/>
        <w:autoSpaceDN/>
        <w:bidi w:val="0"/>
        <w:spacing w:line="576" w:lineRule="exact"/>
        <w:ind w:firstLine="640" w:firstLineChars="200"/>
        <w:rPr>
          <w:rFonts w:hint="default"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zh-CN" w:eastAsia="zh-CN"/>
        </w:rPr>
        <w:t>我单位认真履行职能职责，强化管理，</w:t>
      </w:r>
      <w:r>
        <w:rPr>
          <w:rFonts w:hint="eastAsia" w:ascii="仿宋_GB2312" w:hAnsi="仿宋" w:eastAsia="仿宋_GB2312" w:cs="仿宋"/>
          <w:color w:val="000000"/>
          <w:sz w:val="32"/>
          <w:szCs w:val="32"/>
          <w:lang w:val="en-US" w:eastAsia="zh-CN"/>
        </w:rPr>
        <w:t>2024年4个部门预算项目均完成了项目年度目标任务。</w:t>
      </w:r>
    </w:p>
    <w:p w14:paraId="6DDF2508">
      <w:pPr>
        <w:keepNext w:val="0"/>
        <w:keepLines w:val="0"/>
        <w:pageBreakBefore w:val="0"/>
        <w:numPr>
          <w:ilvl w:val="0"/>
          <w:numId w:val="3"/>
        </w:numPr>
        <w:kinsoku/>
        <w:wordWrap/>
        <w:overflowPunct/>
        <w:topLinePunct w:val="0"/>
        <w:autoSpaceDE/>
        <w:autoSpaceDN/>
        <w:bidi w:val="0"/>
        <w:spacing w:line="576" w:lineRule="exact"/>
        <w:ind w:left="0" w:leftChars="0" w:firstLine="643" w:firstLineChars="200"/>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0E103CAF">
      <w:pPr>
        <w:keepNext w:val="0"/>
        <w:keepLines w:val="0"/>
        <w:pageBreakBefore w:val="0"/>
        <w:numPr>
          <w:numId w:val="0"/>
        </w:numPr>
        <w:kinsoku/>
        <w:wordWrap/>
        <w:overflowPunct/>
        <w:topLinePunct w:val="0"/>
        <w:autoSpaceDE/>
        <w:autoSpaceDN/>
        <w:bidi w:val="0"/>
        <w:spacing w:line="576" w:lineRule="exact"/>
        <w:ind w:firstLine="640" w:firstLineChars="200"/>
        <w:rPr>
          <w:rFonts w:hint="eastAsia"/>
          <w:lang w:val="zh-CN" w:eastAsia="zh-CN"/>
        </w:rPr>
      </w:pPr>
      <w:r>
        <w:rPr>
          <w:rFonts w:hint="eastAsia" w:ascii="仿宋_GB2312" w:hAnsi="仿宋" w:eastAsia="仿宋_GB2312" w:cs="仿宋"/>
          <w:color w:val="000000"/>
          <w:sz w:val="32"/>
          <w:szCs w:val="32"/>
          <w:lang w:eastAsia="zh-CN"/>
        </w:rPr>
        <w:t>部门绩效目标按要求向社会公开。</w:t>
      </w:r>
    </w:p>
    <w:p w14:paraId="061AC37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368BCFBB">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p>
    <w:p w14:paraId="53BB3A82">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u w:val="none"/>
          <w:lang w:val="en-US" w:eastAsia="zh-CN" w:bidi="ar"/>
        </w:rPr>
      </w:pPr>
      <w:r>
        <w:rPr>
          <w:rFonts w:hint="eastAsia" w:ascii="Times New Roman" w:hAnsi="Times New Roman" w:eastAsia="仿宋_GB2312" w:cs="Times New Roman"/>
          <w:sz w:val="32"/>
          <w:szCs w:val="32"/>
          <w:u w:val="none"/>
          <w:lang w:val="en-US" w:eastAsia="zh-CN" w:bidi="ar"/>
        </w:rPr>
        <w:t>本单位整体支出绩效编制基本准确，支出控制、执行进度、预算完成情况较好，在执行过程中没有违规记录。其中必须包含自评得分。</w:t>
      </w:r>
    </w:p>
    <w:p w14:paraId="77615346">
      <w:pPr>
        <w:keepNext w:val="0"/>
        <w:keepLines w:val="0"/>
        <w:pageBreakBefore w:val="0"/>
        <w:widowControl/>
        <w:numPr>
          <w:ilvl w:val="0"/>
          <w:numId w:val="4"/>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存在问题。</w:t>
      </w:r>
    </w:p>
    <w:p w14:paraId="5B29BC84">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u w:val="none"/>
          <w:lang w:val="zh-CN" w:eastAsia="zh-CN" w:bidi="ar"/>
        </w:rPr>
      </w:pPr>
      <w:r>
        <w:rPr>
          <w:rFonts w:hint="default" w:ascii="Times New Roman" w:hAnsi="Times New Roman" w:eastAsia="仿宋_GB2312" w:cs="Times New Roman"/>
          <w:sz w:val="32"/>
          <w:szCs w:val="32"/>
          <w:u w:val="none"/>
          <w:lang w:val="zh-CN" w:eastAsia="zh-CN" w:bidi="ar"/>
        </w:rPr>
        <w:t>我单位在预算执行中无存在的问题。</w:t>
      </w:r>
    </w:p>
    <w:p w14:paraId="6A5FFEC5">
      <w:pPr>
        <w:rPr>
          <w:rFonts w:hint="eastAsia" w:ascii="Times New Roman" w:hAnsi="Times New Roman" w:eastAsia="仿宋_GB2312" w:cs="Times New Roman"/>
          <w:kern w:val="2"/>
          <w:sz w:val="32"/>
          <w:szCs w:val="32"/>
          <w:u w:val="none"/>
          <w:lang w:val="en-US" w:eastAsia="zh-CN" w:bidi="ar"/>
        </w:rPr>
      </w:pPr>
      <w:r>
        <w:rPr>
          <w:rFonts w:hint="eastAsia"/>
          <w:lang w:val="zh-CN" w:eastAsia="zh-CN"/>
        </w:rPr>
        <w:br w:type="page"/>
      </w:r>
    </w:p>
    <w:p w14:paraId="3A6D02BC">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tbl>
      <w:tblPr>
        <w:tblStyle w:val="15"/>
        <w:tblW w:w="523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927"/>
        <w:gridCol w:w="1150"/>
        <w:gridCol w:w="720"/>
        <w:gridCol w:w="784"/>
        <w:gridCol w:w="503"/>
        <w:gridCol w:w="525"/>
        <w:gridCol w:w="513"/>
        <w:gridCol w:w="1247"/>
        <w:gridCol w:w="528"/>
        <w:gridCol w:w="714"/>
        <w:gridCol w:w="1226"/>
      </w:tblGrid>
      <w:tr w14:paraId="0CB9B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91CB22C">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F1A0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90" w:hRule="atLeast"/>
          <w:jc w:val="center"/>
        </w:trPr>
        <w:tc>
          <w:tcPr>
            <w:tcW w:w="11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DAFA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82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10AC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51000021R000000019953-单位缴费</w:t>
            </w:r>
          </w:p>
        </w:tc>
      </w:tr>
      <w:tr w14:paraId="6536E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782" w:hRule="atLeast"/>
          <w:jc w:val="center"/>
        </w:trPr>
        <w:tc>
          <w:tcPr>
            <w:tcW w:w="11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7E0F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7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3C99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四川省总工会部门</w:t>
            </w:r>
          </w:p>
        </w:tc>
        <w:tc>
          <w:tcPr>
            <w:tcW w:w="705" w:type="pct"/>
            <w:tcBorders>
              <w:top w:val="nil"/>
              <w:left w:val="nil"/>
              <w:bottom w:val="nil"/>
              <w:right w:val="nil"/>
            </w:tcBorders>
            <w:shd w:val="clear" w:color="auto" w:fill="auto"/>
            <w:vAlign w:val="center"/>
          </w:tcPr>
          <w:p w14:paraId="4A728C2F">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DD9E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四川省总工会成都工人疗养院</w:t>
            </w:r>
          </w:p>
        </w:tc>
      </w:tr>
      <w:tr w14:paraId="4B893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DC56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A3D8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7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28FF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1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943B9B">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A359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C83F6">
            <w:pPr>
              <w:snapToGrid w:val="0"/>
              <w:rPr>
                <w:rFonts w:hint="eastAsia" w:ascii="宋体" w:hAnsi="宋体" w:eastAsia="宋体" w:cs="宋体"/>
                <w:i w:val="0"/>
                <w:iCs w:val="0"/>
                <w:color w:val="000000"/>
                <w:sz w:val="18"/>
                <w:szCs w:val="18"/>
                <w:u w:val="none"/>
              </w:rPr>
            </w:pPr>
          </w:p>
        </w:tc>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9E182">
            <w:pPr>
              <w:snapToGrid w:val="0"/>
              <w:rPr>
                <w:rFonts w:hint="eastAsia" w:ascii="宋体" w:hAnsi="宋体" w:eastAsia="宋体" w:cs="宋体"/>
                <w:i w:val="0"/>
                <w:iCs w:val="0"/>
                <w:color w:val="000000"/>
                <w:sz w:val="18"/>
                <w:szCs w:val="18"/>
                <w:u w:val="none"/>
              </w:rPr>
            </w:pPr>
          </w:p>
        </w:tc>
        <w:tc>
          <w:tcPr>
            <w:tcW w:w="17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51F5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严格执行相关政策，保障在职人员保险、职业年金、住房公积金等及时缴纳，预算编制科学合理，减少结余资金。</w:t>
            </w:r>
          </w:p>
        </w:tc>
        <w:tc>
          <w:tcPr>
            <w:tcW w:w="21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471B1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我院严格执行政策，科学合理编制预算，确保在职职工保险、职业年金、住房公积金及时足额缴纳，无资金结余情况。</w:t>
            </w:r>
          </w:p>
        </w:tc>
      </w:tr>
      <w:tr w14:paraId="74521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78CA3">
            <w:pPr>
              <w:snapToGrid w:val="0"/>
              <w:rPr>
                <w:rFonts w:hint="eastAsia" w:ascii="宋体" w:hAnsi="宋体" w:eastAsia="宋体" w:cs="宋体"/>
                <w:i w:val="0"/>
                <w:iCs w:val="0"/>
                <w:color w:val="000000"/>
                <w:sz w:val="18"/>
                <w:szCs w:val="18"/>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A18B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82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2AF4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项目实施内容：在职人员养老保险、职业年金等单位缴费。过程概述：根据在职职工养老保险、职业年金等单位缴费实际，按进度申请拨付。</w:t>
            </w:r>
          </w:p>
        </w:tc>
      </w:tr>
      <w:tr w14:paraId="4C1CF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5044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CB9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DB6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0F3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798B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B03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19D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9C0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3C6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0E10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612BF">
            <w:pPr>
              <w:snapToGrid w:val="0"/>
              <w:jc w:val="center"/>
              <w:rPr>
                <w:rFonts w:hint="eastAsia" w:ascii="宋体" w:hAnsi="宋体" w:eastAsia="宋体" w:cs="宋体"/>
                <w:i w:val="0"/>
                <w:iCs w:val="0"/>
                <w:color w:val="000000"/>
                <w:sz w:val="18"/>
                <w:szCs w:val="18"/>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C3D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7041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160.35</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BB03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148.82</w:t>
            </w:r>
          </w:p>
        </w:tc>
        <w:tc>
          <w:tcPr>
            <w:tcW w:w="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53200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148.70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9E45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99.92%</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EECE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3A65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9.99</w:t>
            </w:r>
          </w:p>
        </w:tc>
        <w:tc>
          <w:tcPr>
            <w:tcW w:w="6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BF81B">
            <w:pPr>
              <w:snapToGrid w:val="0"/>
              <w:rPr>
                <w:rFonts w:hint="eastAsia" w:ascii="黑体" w:hAnsi="黑体" w:eastAsia="黑体" w:cs="黑体"/>
                <w:i/>
                <w:iCs/>
                <w:color w:val="000000"/>
                <w:sz w:val="18"/>
                <w:szCs w:val="18"/>
                <w:u w:val="none"/>
              </w:rPr>
            </w:pPr>
          </w:p>
        </w:tc>
      </w:tr>
      <w:tr w14:paraId="55179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B6749">
            <w:pPr>
              <w:snapToGrid w:val="0"/>
              <w:jc w:val="center"/>
              <w:rPr>
                <w:rFonts w:hint="eastAsia" w:ascii="宋体" w:hAnsi="宋体" w:eastAsia="宋体" w:cs="宋体"/>
                <w:i w:val="0"/>
                <w:iCs w:val="0"/>
                <w:color w:val="000000"/>
                <w:sz w:val="18"/>
                <w:szCs w:val="18"/>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D6E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38DF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160.35</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95B2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148.82</w:t>
            </w:r>
          </w:p>
        </w:tc>
        <w:tc>
          <w:tcPr>
            <w:tcW w:w="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22FDE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148.70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989D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99.92%</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C04A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88CE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7C874">
            <w:pPr>
              <w:snapToGrid w:val="0"/>
              <w:rPr>
                <w:rFonts w:hint="eastAsia" w:ascii="黑体" w:hAnsi="黑体" w:eastAsia="黑体" w:cs="黑体"/>
                <w:i/>
                <w:iCs/>
                <w:color w:val="000000"/>
                <w:sz w:val="18"/>
                <w:szCs w:val="18"/>
                <w:u w:val="none"/>
              </w:rPr>
            </w:pPr>
          </w:p>
        </w:tc>
      </w:tr>
      <w:tr w14:paraId="4E90A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AFD9C">
            <w:pPr>
              <w:snapToGrid w:val="0"/>
              <w:jc w:val="center"/>
              <w:rPr>
                <w:rFonts w:hint="eastAsia" w:ascii="宋体" w:hAnsi="宋体" w:eastAsia="宋体" w:cs="宋体"/>
                <w:i w:val="0"/>
                <w:iCs w:val="0"/>
                <w:color w:val="000000"/>
                <w:sz w:val="18"/>
                <w:szCs w:val="18"/>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2EF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0283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719D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4BF94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D4C8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8EF8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071C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CFCE0">
            <w:pPr>
              <w:snapToGrid w:val="0"/>
              <w:rPr>
                <w:rFonts w:hint="eastAsia" w:ascii="黑体" w:hAnsi="黑体" w:eastAsia="黑体" w:cs="黑体"/>
                <w:i/>
                <w:iCs/>
                <w:color w:val="000000"/>
                <w:sz w:val="18"/>
                <w:szCs w:val="18"/>
                <w:u w:val="none"/>
              </w:rPr>
            </w:pPr>
          </w:p>
        </w:tc>
      </w:tr>
      <w:tr w14:paraId="08E27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3C1AA">
            <w:pPr>
              <w:snapToGrid w:val="0"/>
              <w:jc w:val="center"/>
              <w:rPr>
                <w:rFonts w:hint="eastAsia" w:ascii="宋体" w:hAnsi="宋体" w:eastAsia="宋体" w:cs="宋体"/>
                <w:i w:val="0"/>
                <w:iCs w:val="0"/>
                <w:color w:val="000000"/>
                <w:sz w:val="18"/>
                <w:szCs w:val="18"/>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F16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0A93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4F26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11837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0383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28D2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AFEE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FD978">
            <w:pPr>
              <w:snapToGrid w:val="0"/>
              <w:rPr>
                <w:rFonts w:hint="eastAsia" w:ascii="黑体" w:hAnsi="黑体" w:eastAsia="黑体" w:cs="黑体"/>
                <w:i/>
                <w:iCs/>
                <w:color w:val="000000"/>
                <w:sz w:val="18"/>
                <w:szCs w:val="18"/>
                <w:u w:val="none"/>
              </w:rPr>
            </w:pPr>
          </w:p>
        </w:tc>
      </w:tr>
      <w:tr w14:paraId="29B2C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5D3A9">
            <w:pPr>
              <w:snapToGrid w:val="0"/>
              <w:jc w:val="center"/>
              <w:rPr>
                <w:rFonts w:hint="eastAsia" w:ascii="宋体" w:hAnsi="宋体" w:eastAsia="宋体" w:cs="宋体"/>
                <w:i w:val="0"/>
                <w:iCs w:val="0"/>
                <w:color w:val="000000"/>
                <w:sz w:val="18"/>
                <w:szCs w:val="18"/>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23E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B7B8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7600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8535F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B3A8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DE9A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3CC5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F54E5">
            <w:pPr>
              <w:snapToGrid w:val="0"/>
              <w:rPr>
                <w:rFonts w:hint="eastAsia" w:ascii="黑体" w:hAnsi="黑体" w:eastAsia="黑体" w:cs="黑体"/>
                <w:i/>
                <w:iCs/>
                <w:color w:val="000000"/>
                <w:sz w:val="18"/>
                <w:szCs w:val="18"/>
                <w:u w:val="none"/>
              </w:rPr>
            </w:pPr>
          </w:p>
        </w:tc>
      </w:tr>
      <w:tr w14:paraId="402B4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3949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87F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846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08F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FB0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281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FDD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53C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47D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2F6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E81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42EE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AD91A">
            <w:pPr>
              <w:snapToGrid w:val="0"/>
              <w:jc w:val="center"/>
              <w:rPr>
                <w:rFonts w:hint="eastAsia" w:ascii="宋体" w:hAnsi="宋体" w:eastAsia="宋体" w:cs="宋体"/>
                <w:i w:val="0"/>
                <w:iCs w:val="0"/>
                <w:color w:val="000000"/>
                <w:sz w:val="18"/>
                <w:szCs w:val="18"/>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06D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DDB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806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A4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E24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E08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370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42A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70A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5FC9C">
            <w:pPr>
              <w:snapToGrid w:val="0"/>
              <w:jc w:val="center"/>
              <w:rPr>
                <w:rFonts w:hint="eastAsia" w:ascii="微软雅黑" w:hAnsi="微软雅黑" w:eastAsia="微软雅黑" w:cs="微软雅黑"/>
                <w:i/>
                <w:iCs/>
                <w:color w:val="000000"/>
                <w:sz w:val="16"/>
                <w:szCs w:val="16"/>
                <w:u w:val="none"/>
              </w:rPr>
            </w:pPr>
          </w:p>
        </w:tc>
      </w:tr>
      <w:tr w14:paraId="1EF3B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043C9">
            <w:pPr>
              <w:snapToGrid w:val="0"/>
              <w:jc w:val="center"/>
              <w:rPr>
                <w:rFonts w:hint="eastAsia" w:ascii="宋体" w:hAnsi="宋体" w:eastAsia="宋体" w:cs="宋体"/>
                <w:i w:val="0"/>
                <w:iCs w:val="0"/>
                <w:color w:val="000000"/>
                <w:sz w:val="18"/>
                <w:szCs w:val="18"/>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6D7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77E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AFB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402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436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745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494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529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7BB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33819">
            <w:pPr>
              <w:snapToGrid w:val="0"/>
              <w:jc w:val="center"/>
              <w:rPr>
                <w:rFonts w:hint="eastAsia" w:ascii="微软雅黑" w:hAnsi="微软雅黑" w:eastAsia="微软雅黑" w:cs="微软雅黑"/>
                <w:i/>
                <w:iCs/>
                <w:color w:val="000000"/>
                <w:sz w:val="16"/>
                <w:szCs w:val="16"/>
                <w:u w:val="none"/>
              </w:rPr>
            </w:pPr>
          </w:p>
        </w:tc>
      </w:tr>
      <w:tr w14:paraId="51121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0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1AC7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7B4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673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99.99</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7A28C">
            <w:pPr>
              <w:snapToGrid w:val="0"/>
              <w:rPr>
                <w:rFonts w:hint="eastAsia" w:ascii="宋体" w:hAnsi="宋体" w:eastAsia="宋体" w:cs="宋体"/>
                <w:i w:val="0"/>
                <w:iCs w:val="0"/>
                <w:color w:val="000000"/>
                <w:sz w:val="18"/>
                <w:szCs w:val="18"/>
                <w:u w:val="none"/>
              </w:rPr>
            </w:pPr>
          </w:p>
        </w:tc>
      </w:tr>
      <w:tr w14:paraId="0514D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652" w:hRule="atLeast"/>
          <w:jc w:val="center"/>
        </w:trPr>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92B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47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4A1BA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我院严格执行政策，科学合理编制预算，确保在职职工保险、职业年金、住房公积金及时足额缴纳，无资金结余情况。</w:t>
            </w:r>
          </w:p>
        </w:tc>
      </w:tr>
      <w:tr w14:paraId="1D1FC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529" w:hRule="atLeast"/>
          <w:jc w:val="center"/>
        </w:trPr>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DBF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47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54C3D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14:paraId="3BC5E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586" w:hRule="atLeast"/>
          <w:jc w:val="center"/>
        </w:trPr>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558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47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88388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bl>
    <w:p w14:paraId="38BCEBC8">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tbl>
      <w:tblPr>
        <w:tblStyle w:val="15"/>
        <w:tblW w:w="527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1016"/>
        <w:gridCol w:w="1048"/>
        <w:gridCol w:w="789"/>
        <w:gridCol w:w="721"/>
        <w:gridCol w:w="507"/>
        <w:gridCol w:w="522"/>
        <w:gridCol w:w="496"/>
        <w:gridCol w:w="1226"/>
        <w:gridCol w:w="619"/>
        <w:gridCol w:w="720"/>
        <w:gridCol w:w="1239"/>
      </w:tblGrid>
      <w:tr w14:paraId="44FB7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503"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0B217C6">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A0B8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9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01DA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8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2D1D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51000021R000000019956-离退休费支出</w:t>
            </w:r>
          </w:p>
        </w:tc>
      </w:tr>
      <w:tr w14:paraId="4823D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584"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8A97B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4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0E30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四川省总工会部门</w:t>
            </w:r>
          </w:p>
        </w:tc>
        <w:tc>
          <w:tcPr>
            <w:tcW w:w="967" w:type="pct"/>
            <w:gridSpan w:val="2"/>
            <w:tcBorders>
              <w:top w:val="nil"/>
              <w:left w:val="nil"/>
              <w:bottom w:val="nil"/>
              <w:right w:val="nil"/>
            </w:tcBorders>
            <w:shd w:val="clear" w:color="auto" w:fill="auto"/>
            <w:vAlign w:val="center"/>
          </w:tcPr>
          <w:p w14:paraId="2C6B6E48">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F486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四川省总工会成都工人疗养院</w:t>
            </w:r>
          </w:p>
        </w:tc>
      </w:tr>
      <w:tr w14:paraId="574D0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339" w:hRule="atLeast"/>
          <w:jc w:val="center"/>
        </w:trPr>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A343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00E7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4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F4C2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41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0681E0">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B793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1077" w:hRule="atLeast"/>
          <w:jc w:val="center"/>
        </w:trPr>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B7DC5">
            <w:pPr>
              <w:snapToGrid w:val="0"/>
              <w:rPr>
                <w:rFonts w:hint="eastAsia" w:ascii="宋体" w:hAnsi="宋体" w:eastAsia="宋体" w:cs="宋体"/>
                <w:i w:val="0"/>
                <w:iCs w:val="0"/>
                <w:color w:val="000000"/>
                <w:sz w:val="18"/>
                <w:szCs w:val="18"/>
                <w:u w:val="none"/>
              </w:rPr>
            </w:pP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8C730">
            <w:pPr>
              <w:snapToGrid w:val="0"/>
              <w:rPr>
                <w:rFonts w:hint="eastAsia" w:ascii="宋体" w:hAnsi="宋体" w:eastAsia="宋体" w:cs="宋体"/>
                <w:i w:val="0"/>
                <w:iCs w:val="0"/>
                <w:color w:val="000000"/>
                <w:sz w:val="18"/>
                <w:szCs w:val="18"/>
                <w:u w:val="none"/>
              </w:rPr>
            </w:pPr>
          </w:p>
        </w:tc>
        <w:tc>
          <w:tcPr>
            <w:tcW w:w="14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E9CC83">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严格执行相关政策，保障离休人员工资及时、足额发放，预算编制科学合理，减少结余资金。</w:t>
            </w:r>
          </w:p>
        </w:tc>
        <w:tc>
          <w:tcPr>
            <w:tcW w:w="241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8F81E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我院严格执行政策，科学合理编制预算，及时进行预算额度追加，确保离休人员工资按时足额发放。</w:t>
            </w:r>
          </w:p>
        </w:tc>
      </w:tr>
      <w:tr w14:paraId="33EE3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829" w:hRule="atLeast"/>
          <w:jc w:val="center"/>
        </w:trPr>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05F17">
            <w:pPr>
              <w:snapToGrid w:val="0"/>
              <w:rPr>
                <w:rFonts w:hint="eastAsia" w:ascii="宋体" w:hAnsi="宋体" w:eastAsia="宋体" w:cs="宋体"/>
                <w:i w:val="0"/>
                <w:iCs w:val="0"/>
                <w:color w:val="000000"/>
                <w:sz w:val="18"/>
                <w:szCs w:val="18"/>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565D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8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62510D">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项目实施内容：离休人员3人离休费发放。过程概述：每月及时申请，及时足额发放。</w:t>
            </w:r>
          </w:p>
        </w:tc>
      </w:tr>
      <w:tr w14:paraId="5C837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584" w:hRule="atLeast"/>
          <w:jc w:val="center"/>
        </w:trPr>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CBBE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528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D5A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28A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5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2FA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A26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0E1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B51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41F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2805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422" w:hRule="atLeast"/>
          <w:jc w:val="center"/>
        </w:trPr>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1C5D4">
            <w:pPr>
              <w:snapToGrid w:val="0"/>
              <w:jc w:val="center"/>
              <w:rPr>
                <w:rFonts w:hint="eastAsia" w:ascii="宋体" w:hAnsi="宋体" w:eastAsia="宋体" w:cs="宋体"/>
                <w:i w:val="0"/>
                <w:iCs w:val="0"/>
                <w:color w:val="000000"/>
                <w:sz w:val="18"/>
                <w:szCs w:val="18"/>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D94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C6439">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57.51</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59D64">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67.88</w:t>
            </w:r>
          </w:p>
        </w:tc>
        <w:tc>
          <w:tcPr>
            <w:tcW w:w="5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F2E02">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67.87</w:t>
            </w:r>
          </w:p>
        </w:tc>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449BE6">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99.99%</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248DC">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9332B">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9.99</w:t>
            </w: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4B2527">
            <w:pPr>
              <w:snapToGrid w:val="0"/>
              <w:rPr>
                <w:rFonts w:hint="eastAsia" w:ascii="黑体" w:hAnsi="黑体" w:eastAsia="黑体" w:cs="黑体"/>
                <w:i/>
                <w:iCs/>
                <w:color w:val="000000"/>
                <w:sz w:val="18"/>
                <w:szCs w:val="18"/>
                <w:u w:val="none"/>
              </w:rPr>
            </w:pPr>
          </w:p>
        </w:tc>
      </w:tr>
      <w:tr w14:paraId="79AEC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584" w:hRule="atLeast"/>
          <w:jc w:val="center"/>
        </w:trPr>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199AB">
            <w:pPr>
              <w:snapToGrid w:val="0"/>
              <w:jc w:val="center"/>
              <w:rPr>
                <w:rFonts w:hint="eastAsia" w:ascii="宋体" w:hAnsi="宋体" w:eastAsia="宋体" w:cs="宋体"/>
                <w:i w:val="0"/>
                <w:iCs w:val="0"/>
                <w:color w:val="000000"/>
                <w:sz w:val="18"/>
                <w:szCs w:val="18"/>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FE6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D81BE">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57.51</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B91F5">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67.88</w:t>
            </w:r>
          </w:p>
        </w:tc>
        <w:tc>
          <w:tcPr>
            <w:tcW w:w="5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54BA2">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67.87</w:t>
            </w:r>
          </w:p>
        </w:tc>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2D1F0">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99.99%</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5930D">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30446">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55139">
            <w:pPr>
              <w:snapToGrid w:val="0"/>
              <w:rPr>
                <w:rFonts w:hint="eastAsia" w:ascii="黑体" w:hAnsi="黑体" w:eastAsia="黑体" w:cs="黑体"/>
                <w:i/>
                <w:iCs/>
                <w:color w:val="000000"/>
                <w:sz w:val="18"/>
                <w:szCs w:val="18"/>
                <w:u w:val="none"/>
              </w:rPr>
            </w:pPr>
          </w:p>
        </w:tc>
      </w:tr>
      <w:tr w14:paraId="65571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584" w:hRule="atLeast"/>
          <w:jc w:val="center"/>
        </w:trPr>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90CA5">
            <w:pPr>
              <w:snapToGrid w:val="0"/>
              <w:jc w:val="center"/>
              <w:rPr>
                <w:rFonts w:hint="eastAsia" w:ascii="宋体" w:hAnsi="宋体" w:eastAsia="宋体" w:cs="宋体"/>
                <w:i w:val="0"/>
                <w:iCs w:val="0"/>
                <w:color w:val="000000"/>
                <w:sz w:val="18"/>
                <w:szCs w:val="18"/>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E00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07799">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0.00</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920C8">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0.00</w:t>
            </w:r>
          </w:p>
        </w:tc>
        <w:tc>
          <w:tcPr>
            <w:tcW w:w="5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CB01A">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0.00</w:t>
            </w:r>
          </w:p>
        </w:tc>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BB5B7">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0.00%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12BC7">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7A1B0">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B6788">
            <w:pPr>
              <w:snapToGrid w:val="0"/>
              <w:rPr>
                <w:rFonts w:hint="eastAsia" w:ascii="黑体" w:hAnsi="黑体" w:eastAsia="黑体" w:cs="黑体"/>
                <w:i/>
                <w:iCs/>
                <w:color w:val="000000"/>
                <w:sz w:val="18"/>
                <w:szCs w:val="18"/>
                <w:u w:val="none"/>
              </w:rPr>
            </w:pPr>
          </w:p>
        </w:tc>
      </w:tr>
      <w:tr w14:paraId="18908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422" w:hRule="atLeast"/>
          <w:jc w:val="center"/>
        </w:trPr>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1AA5D">
            <w:pPr>
              <w:snapToGrid w:val="0"/>
              <w:jc w:val="center"/>
              <w:rPr>
                <w:rFonts w:hint="eastAsia" w:ascii="宋体" w:hAnsi="宋体" w:eastAsia="宋体" w:cs="宋体"/>
                <w:i w:val="0"/>
                <w:iCs w:val="0"/>
                <w:color w:val="000000"/>
                <w:sz w:val="18"/>
                <w:szCs w:val="18"/>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A94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DD6AD">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0.00</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F3626">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0.00</w:t>
            </w:r>
          </w:p>
        </w:tc>
        <w:tc>
          <w:tcPr>
            <w:tcW w:w="5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CE3F9">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0.00</w:t>
            </w:r>
          </w:p>
        </w:tc>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4C25B">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0.00%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D5E37">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80207">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D20D3">
            <w:pPr>
              <w:snapToGrid w:val="0"/>
              <w:rPr>
                <w:rFonts w:hint="eastAsia" w:ascii="黑体" w:hAnsi="黑体" w:eastAsia="黑体" w:cs="黑体"/>
                <w:i/>
                <w:iCs/>
                <w:color w:val="000000"/>
                <w:sz w:val="18"/>
                <w:szCs w:val="18"/>
                <w:u w:val="none"/>
              </w:rPr>
            </w:pPr>
          </w:p>
        </w:tc>
      </w:tr>
      <w:tr w14:paraId="3FD5D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422" w:hRule="atLeast"/>
          <w:jc w:val="center"/>
        </w:trPr>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2D91E">
            <w:pPr>
              <w:snapToGrid w:val="0"/>
              <w:jc w:val="center"/>
              <w:rPr>
                <w:rFonts w:hint="eastAsia" w:ascii="宋体" w:hAnsi="宋体" w:eastAsia="宋体" w:cs="宋体"/>
                <w:i w:val="0"/>
                <w:iCs w:val="0"/>
                <w:color w:val="000000"/>
                <w:sz w:val="18"/>
                <w:szCs w:val="18"/>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8DF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DE69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433B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5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E0BE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549D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F1B26">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1D80F">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46A7E">
            <w:pPr>
              <w:snapToGrid w:val="0"/>
              <w:rPr>
                <w:rFonts w:hint="eastAsia" w:ascii="黑体" w:hAnsi="黑体" w:eastAsia="黑体" w:cs="黑体"/>
                <w:i/>
                <w:iCs/>
                <w:color w:val="000000"/>
                <w:sz w:val="18"/>
                <w:szCs w:val="18"/>
                <w:u w:val="none"/>
              </w:rPr>
            </w:pPr>
          </w:p>
        </w:tc>
      </w:tr>
      <w:tr w14:paraId="05423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584" w:hRule="atLeast"/>
          <w:jc w:val="center"/>
        </w:trPr>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F9C0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066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DD7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77B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93F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E5B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5DB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009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5AB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161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743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C51F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1074" w:hRule="atLeast"/>
          <w:jc w:val="center"/>
        </w:trPr>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43FE6">
            <w:pPr>
              <w:snapToGrid w:val="0"/>
              <w:jc w:val="center"/>
              <w:rPr>
                <w:rFonts w:hint="eastAsia" w:ascii="宋体" w:hAnsi="宋体" w:eastAsia="宋体" w:cs="宋体"/>
                <w:i w:val="0"/>
                <w:iCs w:val="0"/>
                <w:color w:val="000000"/>
                <w:sz w:val="18"/>
                <w:szCs w:val="18"/>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919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CAD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F81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D6F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E3E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58C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7A2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A05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F48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6EAE0">
            <w:pPr>
              <w:snapToGrid w:val="0"/>
              <w:jc w:val="center"/>
              <w:rPr>
                <w:rFonts w:hint="eastAsia" w:ascii="微软雅黑" w:hAnsi="微软雅黑" w:eastAsia="微软雅黑" w:cs="微软雅黑"/>
                <w:i/>
                <w:iCs/>
                <w:color w:val="000000"/>
                <w:sz w:val="16"/>
                <w:szCs w:val="16"/>
                <w:u w:val="none"/>
              </w:rPr>
            </w:pPr>
          </w:p>
        </w:tc>
      </w:tr>
      <w:tr w14:paraId="71628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1074" w:hRule="atLeast"/>
          <w:jc w:val="center"/>
        </w:trPr>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3CD9D">
            <w:pPr>
              <w:snapToGrid w:val="0"/>
              <w:jc w:val="center"/>
              <w:rPr>
                <w:rFonts w:hint="eastAsia" w:ascii="宋体" w:hAnsi="宋体" w:eastAsia="宋体" w:cs="宋体"/>
                <w:i w:val="0"/>
                <w:iCs w:val="0"/>
                <w:color w:val="000000"/>
                <w:sz w:val="18"/>
                <w:szCs w:val="18"/>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01A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4BD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104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960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7E8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A03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A89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3B0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6D2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940D0">
            <w:pPr>
              <w:snapToGrid w:val="0"/>
              <w:jc w:val="center"/>
              <w:rPr>
                <w:rFonts w:hint="eastAsia" w:ascii="微软雅黑" w:hAnsi="微软雅黑" w:eastAsia="微软雅黑" w:cs="微软雅黑"/>
                <w:i/>
                <w:iCs/>
                <w:color w:val="000000"/>
                <w:sz w:val="16"/>
                <w:szCs w:val="16"/>
                <w:u w:val="none"/>
              </w:rPr>
            </w:pPr>
          </w:p>
        </w:tc>
      </w:tr>
      <w:tr w14:paraId="77311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649" w:hRule="atLeast"/>
          <w:jc w:val="center"/>
        </w:trPr>
        <w:tc>
          <w:tcPr>
            <w:tcW w:w="355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783D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BF5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BFC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99.99</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57367">
            <w:pPr>
              <w:snapToGrid w:val="0"/>
              <w:rPr>
                <w:rFonts w:hint="eastAsia" w:ascii="宋体" w:hAnsi="宋体" w:eastAsia="宋体" w:cs="宋体"/>
                <w:i w:val="0"/>
                <w:iCs w:val="0"/>
                <w:color w:val="000000"/>
                <w:sz w:val="18"/>
                <w:szCs w:val="18"/>
                <w:u w:val="none"/>
              </w:rPr>
            </w:pPr>
          </w:p>
        </w:tc>
      </w:tr>
      <w:tr w14:paraId="76681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422" w:hRule="atLeast"/>
          <w:jc w:val="center"/>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875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4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C2158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我院严格执行政策，科学合理编制预算，确保离休人员3人离休费按时足额发放。</w:t>
            </w:r>
          </w:p>
        </w:tc>
      </w:tr>
      <w:tr w14:paraId="05FC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535" w:hRule="atLeast"/>
          <w:jc w:val="center"/>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209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4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AA73A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14:paraId="548F4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652" w:hRule="atLeast"/>
          <w:jc w:val="center"/>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0BB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4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A0DBA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bl>
    <w:p w14:paraId="3AE68AB8">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5"/>
        <w:tblW w:w="8840" w:type="dxa"/>
        <w:tblInd w:w="-11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7"/>
        <w:gridCol w:w="966"/>
        <w:gridCol w:w="1018"/>
        <w:gridCol w:w="1287"/>
        <w:gridCol w:w="396"/>
        <w:gridCol w:w="479"/>
        <w:gridCol w:w="600"/>
        <w:gridCol w:w="454"/>
        <w:gridCol w:w="973"/>
        <w:gridCol w:w="600"/>
        <w:gridCol w:w="1080"/>
      </w:tblGrid>
      <w:tr w14:paraId="461EA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4" w:hRule="atLeast"/>
        </w:trPr>
        <w:tc>
          <w:tcPr>
            <w:tcW w:w="88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04DEDEC">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4D46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1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5D5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AA21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51000021R000000019957-其他补助支出</w:t>
            </w:r>
          </w:p>
        </w:tc>
      </w:tr>
      <w:tr w14:paraId="0F33E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1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DE1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76E8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四川省总工会部门</w:t>
            </w:r>
          </w:p>
        </w:tc>
        <w:tc>
          <w:tcPr>
            <w:tcW w:w="1054" w:type="dxa"/>
            <w:gridSpan w:val="2"/>
            <w:tcBorders>
              <w:top w:val="nil"/>
              <w:left w:val="nil"/>
              <w:bottom w:val="nil"/>
              <w:right w:val="nil"/>
            </w:tcBorders>
            <w:shd w:val="clear" w:color="auto" w:fill="auto"/>
            <w:vAlign w:val="center"/>
          </w:tcPr>
          <w:p w14:paraId="26056DB8">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443A20">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四川省总工会成都工人疗养院</w:t>
            </w:r>
          </w:p>
        </w:tc>
      </w:tr>
      <w:tr w14:paraId="50E0E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094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7613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057A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57042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3B2D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5C455">
            <w:pPr>
              <w:rPr>
                <w:rFonts w:hint="eastAsia" w:ascii="宋体" w:hAnsi="宋体" w:eastAsia="宋体" w:cs="宋体"/>
                <w:i w:val="0"/>
                <w:iCs w:val="0"/>
                <w:color w:val="000000"/>
                <w:sz w:val="18"/>
                <w:szCs w:val="18"/>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1B634">
            <w:pPr>
              <w:rPr>
                <w:rFonts w:hint="eastAsia" w:ascii="宋体" w:hAnsi="宋体" w:eastAsia="宋体" w:cs="宋体"/>
                <w:i w:val="0"/>
                <w:iCs w:val="0"/>
                <w:color w:val="000000"/>
                <w:sz w:val="18"/>
                <w:szCs w:val="18"/>
                <w:u w:val="none"/>
              </w:rPr>
            </w:pPr>
          </w:p>
        </w:tc>
        <w:tc>
          <w:tcPr>
            <w:tcW w:w="3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1F353C">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严格执行相关政策，保障离休人员、630人员困难补助及离休人员一次性生活补助及时、足额发放，预算编制科学合理，减少结余资金。</w:t>
            </w:r>
          </w:p>
        </w:tc>
        <w:tc>
          <w:tcPr>
            <w:tcW w:w="37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F4D7C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我院严格执行政策，科学合理编制预算，及时进行预算额度追加，确保离休人员、630人员困难补助及离休人员一次性生活补助按时足额发放</w:t>
            </w:r>
            <w:r>
              <w:rPr>
                <w:rFonts w:hint="eastAsia" w:ascii="宋体" w:hAnsi="宋体" w:cs="宋体"/>
                <w:i w:val="0"/>
                <w:iCs w:val="0"/>
                <w:color w:val="000000"/>
                <w:kern w:val="0"/>
                <w:sz w:val="18"/>
                <w:szCs w:val="18"/>
                <w:u w:val="none"/>
                <w:lang w:val="en-US" w:eastAsia="zh-CN" w:bidi="ar"/>
              </w:rPr>
              <w:t>。</w:t>
            </w:r>
          </w:p>
        </w:tc>
      </w:tr>
      <w:tr w14:paraId="3B3FE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6E22D">
            <w:pPr>
              <w:rPr>
                <w:rFonts w:hint="eastAsia" w:ascii="宋体" w:hAnsi="宋体" w:eastAsia="宋体" w:cs="宋体"/>
                <w:i w:val="0"/>
                <w:iCs w:val="0"/>
                <w:color w:val="000000"/>
                <w:sz w:val="18"/>
                <w:szCs w:val="18"/>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41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87DFF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项目实施内容：离休人员、630人员困难补助及离休人员一次性生活补助发放。过程概述：离休人员、630人员困难补助按月及时申请，足额发放；离休人员一次性生活补助按上级通知要求及时申请、足额发放。</w:t>
            </w:r>
          </w:p>
        </w:tc>
      </w:tr>
      <w:tr w14:paraId="7338B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2732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55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DA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DA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10C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4B0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A8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48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AE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51AF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D267F">
            <w:pPr>
              <w:jc w:val="center"/>
              <w:rPr>
                <w:rFonts w:hint="eastAsia" w:ascii="宋体" w:hAnsi="宋体" w:eastAsia="宋体" w:cs="宋体"/>
                <w:i w:val="0"/>
                <w:iCs w:val="0"/>
                <w:color w:val="000000"/>
                <w:sz w:val="18"/>
                <w:szCs w:val="18"/>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FB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E0F0">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2.92</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60B4">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41.49</w:t>
            </w: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F0FB3">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41.49</w:t>
            </w:r>
          </w:p>
        </w:tc>
        <w:tc>
          <w:tcPr>
            <w:tcW w:w="1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518F9">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100.00%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1862">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B601">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0A96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5A284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590EB">
            <w:pPr>
              <w:jc w:val="center"/>
              <w:rPr>
                <w:rFonts w:hint="eastAsia" w:ascii="宋体" w:hAnsi="宋体" w:eastAsia="宋体" w:cs="宋体"/>
                <w:i w:val="0"/>
                <w:iCs w:val="0"/>
                <w:color w:val="000000"/>
                <w:sz w:val="18"/>
                <w:szCs w:val="18"/>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FE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A9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2.92</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FC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41.49</w:t>
            </w: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4F1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41.49</w:t>
            </w:r>
          </w:p>
        </w:tc>
        <w:tc>
          <w:tcPr>
            <w:tcW w:w="1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87F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F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53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513C6">
            <w:pPr>
              <w:rPr>
                <w:rFonts w:hint="eastAsia" w:ascii="黑体" w:hAnsi="黑体" w:eastAsia="黑体" w:cs="黑体"/>
                <w:i/>
                <w:iCs/>
                <w:color w:val="000000"/>
                <w:sz w:val="18"/>
                <w:szCs w:val="18"/>
                <w:u w:val="none"/>
              </w:rPr>
            </w:pPr>
          </w:p>
        </w:tc>
      </w:tr>
      <w:tr w14:paraId="23A30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A0EA4">
            <w:pPr>
              <w:jc w:val="center"/>
              <w:rPr>
                <w:rFonts w:hint="eastAsia" w:ascii="宋体" w:hAnsi="宋体" w:eastAsia="宋体" w:cs="宋体"/>
                <w:i w:val="0"/>
                <w:iCs w:val="0"/>
                <w:color w:val="000000"/>
                <w:sz w:val="18"/>
                <w:szCs w:val="18"/>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0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FA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4B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C516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415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44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BB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7C057">
            <w:pPr>
              <w:rPr>
                <w:rFonts w:hint="eastAsia" w:ascii="黑体" w:hAnsi="黑体" w:eastAsia="黑体" w:cs="黑体"/>
                <w:i/>
                <w:iCs/>
                <w:color w:val="000000"/>
                <w:sz w:val="18"/>
                <w:szCs w:val="18"/>
                <w:u w:val="none"/>
              </w:rPr>
            </w:pPr>
          </w:p>
        </w:tc>
      </w:tr>
      <w:tr w14:paraId="442B1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18371">
            <w:pPr>
              <w:jc w:val="center"/>
              <w:rPr>
                <w:rFonts w:hint="eastAsia" w:ascii="宋体" w:hAnsi="宋体" w:eastAsia="宋体" w:cs="宋体"/>
                <w:i w:val="0"/>
                <w:iCs w:val="0"/>
                <w:color w:val="000000"/>
                <w:sz w:val="18"/>
                <w:szCs w:val="18"/>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55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A7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D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77A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C1A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2F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5A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4D598">
            <w:pPr>
              <w:rPr>
                <w:rFonts w:hint="eastAsia" w:ascii="黑体" w:hAnsi="黑体" w:eastAsia="黑体" w:cs="黑体"/>
                <w:i/>
                <w:iCs/>
                <w:color w:val="000000"/>
                <w:sz w:val="18"/>
                <w:szCs w:val="18"/>
                <w:u w:val="none"/>
              </w:rPr>
            </w:pPr>
          </w:p>
        </w:tc>
      </w:tr>
      <w:tr w14:paraId="58120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E53F0">
            <w:pPr>
              <w:jc w:val="center"/>
              <w:rPr>
                <w:rFonts w:hint="eastAsia" w:ascii="宋体" w:hAnsi="宋体" w:eastAsia="宋体" w:cs="宋体"/>
                <w:i w:val="0"/>
                <w:iCs w:val="0"/>
                <w:color w:val="000000"/>
                <w:sz w:val="18"/>
                <w:szCs w:val="18"/>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B0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CCC1">
            <w:pPr>
              <w:jc w:val="center"/>
              <w:rPr>
                <w:rFonts w:hint="eastAsia" w:ascii="微软雅黑" w:hAnsi="微软雅黑" w:eastAsia="微软雅黑" w:cs="微软雅黑"/>
                <w:i/>
                <w:iCs/>
                <w:color w:val="000000"/>
                <w:sz w:val="16"/>
                <w:szCs w:val="16"/>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71FC">
            <w:pPr>
              <w:jc w:val="center"/>
              <w:rPr>
                <w:rFonts w:hint="eastAsia" w:ascii="微软雅黑" w:hAnsi="微软雅黑" w:eastAsia="微软雅黑" w:cs="微软雅黑"/>
                <w:i/>
                <w:iCs/>
                <w:color w:val="000000"/>
                <w:sz w:val="16"/>
                <w:szCs w:val="16"/>
                <w:u w:val="none"/>
              </w:rPr>
            </w:pP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A1E6A">
            <w:pPr>
              <w:jc w:val="center"/>
              <w:rPr>
                <w:rFonts w:hint="eastAsia" w:ascii="微软雅黑" w:hAnsi="微软雅黑" w:eastAsia="微软雅黑" w:cs="微软雅黑"/>
                <w:i/>
                <w:iCs/>
                <w:color w:val="000000"/>
                <w:sz w:val="16"/>
                <w:szCs w:val="16"/>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365E7">
            <w:pPr>
              <w:jc w:val="center"/>
              <w:rPr>
                <w:rFonts w:hint="eastAsia" w:ascii="微软雅黑" w:hAnsi="微软雅黑" w:eastAsia="微软雅黑" w:cs="微软雅黑"/>
                <w:i/>
                <w:iCs/>
                <w:color w:val="000000"/>
                <w:sz w:val="16"/>
                <w:szCs w:val="16"/>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37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82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150D9">
            <w:pPr>
              <w:rPr>
                <w:rFonts w:hint="eastAsia" w:ascii="黑体" w:hAnsi="黑体" w:eastAsia="黑体" w:cs="黑体"/>
                <w:i/>
                <w:iCs/>
                <w:color w:val="000000"/>
                <w:sz w:val="18"/>
                <w:szCs w:val="18"/>
                <w:u w:val="none"/>
              </w:rPr>
            </w:pPr>
          </w:p>
        </w:tc>
      </w:tr>
      <w:tr w14:paraId="238A0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6" w:hRule="atLeast"/>
        </w:trPr>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B3C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B2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99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0B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0C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E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A2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B1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DB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56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5547">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4A8C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555B4">
            <w:pPr>
              <w:jc w:val="center"/>
              <w:rPr>
                <w:rFonts w:hint="eastAsia" w:ascii="宋体" w:hAnsi="宋体" w:eastAsia="宋体" w:cs="宋体"/>
                <w:i w:val="0"/>
                <w:iCs w:val="0"/>
                <w:color w:val="000000"/>
                <w:sz w:val="18"/>
                <w:szCs w:val="18"/>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84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28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78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BBCF">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2E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32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4A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D0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D4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3796">
            <w:pPr>
              <w:jc w:val="center"/>
              <w:rPr>
                <w:rFonts w:hint="eastAsia" w:ascii="微软雅黑" w:hAnsi="微软雅黑" w:eastAsia="微软雅黑" w:cs="微软雅黑"/>
                <w:i/>
                <w:iCs/>
                <w:color w:val="000000"/>
                <w:sz w:val="16"/>
                <w:szCs w:val="16"/>
                <w:u w:val="none"/>
              </w:rPr>
            </w:pPr>
          </w:p>
        </w:tc>
      </w:tr>
      <w:tr w14:paraId="6B703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AF957">
            <w:pPr>
              <w:jc w:val="center"/>
              <w:rPr>
                <w:rFonts w:hint="eastAsia" w:ascii="宋体" w:hAnsi="宋体" w:eastAsia="宋体" w:cs="宋体"/>
                <w:i w:val="0"/>
                <w:iCs w:val="0"/>
                <w:color w:val="000000"/>
                <w:sz w:val="18"/>
                <w:szCs w:val="18"/>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96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16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7C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10EC">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A7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96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99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08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8F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2B4E">
            <w:pPr>
              <w:jc w:val="center"/>
              <w:rPr>
                <w:rFonts w:hint="eastAsia" w:ascii="微软雅黑" w:hAnsi="微软雅黑" w:eastAsia="微软雅黑" w:cs="微软雅黑"/>
                <w:i/>
                <w:iCs/>
                <w:color w:val="000000"/>
                <w:sz w:val="16"/>
                <w:szCs w:val="16"/>
                <w:u w:val="none"/>
              </w:rPr>
            </w:pPr>
          </w:p>
        </w:tc>
      </w:tr>
      <w:tr w14:paraId="3894C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61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15C3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DE5E">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AC9D">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CFDE">
            <w:pPr>
              <w:rPr>
                <w:rFonts w:hint="eastAsia" w:ascii="宋体" w:hAnsi="宋体" w:eastAsia="宋体" w:cs="宋体"/>
                <w:i w:val="0"/>
                <w:iCs w:val="0"/>
                <w:color w:val="000000"/>
                <w:sz w:val="18"/>
                <w:szCs w:val="18"/>
                <w:u w:val="none"/>
              </w:rPr>
            </w:pPr>
          </w:p>
        </w:tc>
      </w:tr>
      <w:tr w14:paraId="2F073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3C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8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65F8D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我院严格执行政策，科学合理编制预算，及时进行预算额度追加，确保离休人员、630人员困难补助及离休人员一次性生活补助按时足额发放。</w:t>
            </w:r>
          </w:p>
        </w:tc>
      </w:tr>
      <w:tr w14:paraId="62CB4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53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8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1FF16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14:paraId="063D3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AC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8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35A2D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bl>
    <w:p w14:paraId="411EBCDD">
      <w:pPr>
        <w:pStyle w:val="5"/>
        <w:rPr>
          <w:rFonts w:hint="eastAsia" w:ascii="Times New Roman" w:hAnsi="Times New Roman" w:eastAsia="黑体" w:cs="黑体"/>
          <w:color w:val="auto"/>
          <w:kern w:val="0"/>
          <w:sz w:val="32"/>
          <w:szCs w:val="32"/>
          <w:highlight w:val="none"/>
          <w:shd w:val="clear" w:color="auto" w:fill="FFFFFF"/>
          <w:lang w:val="zh-CN"/>
        </w:rPr>
      </w:pPr>
    </w:p>
    <w:tbl>
      <w:tblPr>
        <w:tblStyle w:val="15"/>
        <w:tblW w:w="9040" w:type="dxa"/>
        <w:tblInd w:w="-2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4"/>
        <w:gridCol w:w="1346"/>
        <w:gridCol w:w="833"/>
        <w:gridCol w:w="1541"/>
        <w:gridCol w:w="520"/>
        <w:gridCol w:w="488"/>
        <w:gridCol w:w="712"/>
        <w:gridCol w:w="817"/>
        <w:gridCol w:w="486"/>
        <w:gridCol w:w="486"/>
        <w:gridCol w:w="797"/>
      </w:tblGrid>
      <w:tr w14:paraId="09438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90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4D414FB">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EFDC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1C7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6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85FA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51000021Y000000212230-离退休公用</w:t>
            </w:r>
          </w:p>
        </w:tc>
      </w:tr>
      <w:tr w14:paraId="49767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2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A69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3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3F93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四川省总工会部门</w:t>
            </w:r>
          </w:p>
        </w:tc>
        <w:tc>
          <w:tcPr>
            <w:tcW w:w="1529" w:type="dxa"/>
            <w:gridSpan w:val="2"/>
            <w:tcBorders>
              <w:top w:val="nil"/>
              <w:left w:val="nil"/>
              <w:bottom w:val="nil"/>
              <w:right w:val="nil"/>
            </w:tcBorders>
            <w:shd w:val="clear" w:color="auto" w:fill="auto"/>
            <w:vAlign w:val="center"/>
          </w:tcPr>
          <w:p w14:paraId="59443EC6">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86B7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四川省总工会成都工人疗养院</w:t>
            </w:r>
          </w:p>
        </w:tc>
      </w:tr>
      <w:tr w14:paraId="5AC1F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2EF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912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3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50CB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0A542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56F5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180AE">
            <w:pPr>
              <w:rPr>
                <w:rFonts w:hint="eastAsia" w:ascii="宋体" w:hAnsi="宋体" w:eastAsia="宋体" w:cs="宋体"/>
                <w:i w:val="0"/>
                <w:iCs w:val="0"/>
                <w:color w:val="000000"/>
                <w:sz w:val="18"/>
                <w:szCs w:val="18"/>
                <w:u w:val="none"/>
              </w:rPr>
            </w:pPr>
          </w:p>
        </w:tc>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5F949">
            <w:pPr>
              <w:rPr>
                <w:rFonts w:hint="eastAsia" w:ascii="宋体" w:hAnsi="宋体" w:eastAsia="宋体" w:cs="宋体"/>
                <w:i w:val="0"/>
                <w:iCs w:val="0"/>
                <w:color w:val="000000"/>
                <w:sz w:val="18"/>
                <w:szCs w:val="18"/>
                <w:u w:val="none"/>
              </w:rPr>
            </w:pPr>
          </w:p>
        </w:tc>
        <w:tc>
          <w:tcPr>
            <w:tcW w:w="33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0133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保障单位离退休人员活动经费，提高预算编制质量，严格执行预算。</w:t>
            </w:r>
          </w:p>
        </w:tc>
        <w:tc>
          <w:tcPr>
            <w:tcW w:w="32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53DDC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我院科学合理编制预算，确保离退休人员经费及时足额拨付，无资金结余情况</w:t>
            </w:r>
            <w:r>
              <w:rPr>
                <w:rFonts w:hint="eastAsia" w:ascii="宋体" w:hAnsi="宋体" w:cs="宋体"/>
                <w:i w:val="0"/>
                <w:iCs w:val="0"/>
                <w:color w:val="000000"/>
                <w:kern w:val="0"/>
                <w:sz w:val="18"/>
                <w:szCs w:val="18"/>
                <w:u w:val="none"/>
                <w:lang w:val="en-US" w:eastAsia="zh-CN" w:bidi="ar"/>
              </w:rPr>
              <w:t>。</w:t>
            </w:r>
            <w:bookmarkStart w:id="65" w:name="_GoBack"/>
            <w:bookmarkEnd w:id="65"/>
          </w:p>
        </w:tc>
      </w:tr>
      <w:tr w14:paraId="315B8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1529F">
            <w:pPr>
              <w:rPr>
                <w:rFonts w:hint="eastAsia" w:ascii="宋体" w:hAnsi="宋体" w:eastAsia="宋体" w:cs="宋体"/>
                <w:i w:val="0"/>
                <w:iCs w:val="0"/>
                <w:color w:val="000000"/>
                <w:sz w:val="18"/>
                <w:szCs w:val="18"/>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DF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6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D833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项目实施内容：离退休人员活动经费。实施过程：根据离退休人员开展活动情况，及时申请拨付。</w:t>
            </w:r>
          </w:p>
        </w:tc>
      </w:tr>
      <w:tr w14:paraId="699FE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16C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32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F5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3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5BE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FB4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9E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47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7A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2A4C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5AA7F">
            <w:pPr>
              <w:jc w:val="center"/>
              <w:rPr>
                <w:rFonts w:hint="eastAsia" w:ascii="宋体" w:hAnsi="宋体" w:eastAsia="宋体" w:cs="宋体"/>
                <w:i w:val="0"/>
                <w:iCs w:val="0"/>
                <w:color w:val="000000"/>
                <w:sz w:val="18"/>
                <w:szCs w:val="18"/>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71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70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4.22</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F0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4.22</w:t>
            </w: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204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4.22</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20A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14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20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A1EDC">
            <w:pPr>
              <w:rPr>
                <w:rFonts w:hint="eastAsia" w:ascii="黑体" w:hAnsi="黑体" w:eastAsia="黑体" w:cs="黑体"/>
                <w:i/>
                <w:iCs/>
                <w:color w:val="000000"/>
                <w:sz w:val="18"/>
                <w:szCs w:val="18"/>
                <w:u w:val="none"/>
              </w:rPr>
            </w:pPr>
          </w:p>
        </w:tc>
      </w:tr>
      <w:tr w14:paraId="18766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12DCF">
            <w:pPr>
              <w:jc w:val="center"/>
              <w:rPr>
                <w:rFonts w:hint="eastAsia" w:ascii="宋体" w:hAnsi="宋体" w:eastAsia="宋体" w:cs="宋体"/>
                <w:i w:val="0"/>
                <w:iCs w:val="0"/>
                <w:color w:val="000000"/>
                <w:sz w:val="18"/>
                <w:szCs w:val="18"/>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BB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EF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4.22</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00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4.22</w:t>
            </w: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52F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4.22</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043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A7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C8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26FF9">
            <w:pPr>
              <w:rPr>
                <w:rFonts w:hint="eastAsia" w:ascii="黑体" w:hAnsi="黑体" w:eastAsia="黑体" w:cs="黑体"/>
                <w:i/>
                <w:iCs/>
                <w:color w:val="000000"/>
                <w:sz w:val="18"/>
                <w:szCs w:val="18"/>
                <w:u w:val="none"/>
              </w:rPr>
            </w:pPr>
          </w:p>
        </w:tc>
      </w:tr>
      <w:tr w14:paraId="248A3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972CC">
            <w:pPr>
              <w:jc w:val="center"/>
              <w:rPr>
                <w:rFonts w:hint="eastAsia" w:ascii="宋体" w:hAnsi="宋体" w:eastAsia="宋体" w:cs="宋体"/>
                <w:i w:val="0"/>
                <w:iCs w:val="0"/>
                <w:color w:val="000000"/>
                <w:sz w:val="18"/>
                <w:szCs w:val="18"/>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7F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4E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A9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93D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475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7C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56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7FE9C">
            <w:pPr>
              <w:rPr>
                <w:rFonts w:hint="eastAsia" w:ascii="黑体" w:hAnsi="黑体" w:eastAsia="黑体" w:cs="黑体"/>
                <w:i/>
                <w:iCs/>
                <w:color w:val="000000"/>
                <w:sz w:val="18"/>
                <w:szCs w:val="18"/>
                <w:u w:val="none"/>
              </w:rPr>
            </w:pPr>
          </w:p>
        </w:tc>
      </w:tr>
      <w:tr w14:paraId="1DE00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B1F14">
            <w:pPr>
              <w:jc w:val="center"/>
              <w:rPr>
                <w:rFonts w:hint="eastAsia" w:ascii="宋体" w:hAnsi="宋体" w:eastAsia="宋体" w:cs="宋体"/>
                <w:i w:val="0"/>
                <w:iCs w:val="0"/>
                <w:color w:val="000000"/>
                <w:sz w:val="18"/>
                <w:szCs w:val="18"/>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AA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1C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46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47B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EA0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BC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4D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AB112">
            <w:pPr>
              <w:rPr>
                <w:rFonts w:hint="eastAsia" w:ascii="黑体" w:hAnsi="黑体" w:eastAsia="黑体" w:cs="黑体"/>
                <w:i/>
                <w:iCs/>
                <w:color w:val="000000"/>
                <w:sz w:val="18"/>
                <w:szCs w:val="18"/>
                <w:u w:val="none"/>
              </w:rPr>
            </w:pPr>
          </w:p>
        </w:tc>
      </w:tr>
      <w:tr w14:paraId="3D1AD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66799">
            <w:pPr>
              <w:jc w:val="center"/>
              <w:rPr>
                <w:rFonts w:hint="eastAsia" w:ascii="宋体" w:hAnsi="宋体" w:eastAsia="宋体" w:cs="宋体"/>
                <w:i w:val="0"/>
                <w:iCs w:val="0"/>
                <w:color w:val="000000"/>
                <w:sz w:val="18"/>
                <w:szCs w:val="18"/>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19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6B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AA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352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CB9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54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23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33C12">
            <w:pPr>
              <w:rPr>
                <w:rFonts w:hint="eastAsia" w:ascii="黑体" w:hAnsi="黑体" w:eastAsia="黑体" w:cs="黑体"/>
                <w:i/>
                <w:iCs/>
                <w:color w:val="000000"/>
                <w:sz w:val="18"/>
                <w:szCs w:val="18"/>
                <w:u w:val="none"/>
              </w:rPr>
            </w:pPr>
          </w:p>
        </w:tc>
      </w:tr>
      <w:tr w14:paraId="51D0A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2" w:hRule="atLeast"/>
        </w:trPr>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108D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45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03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F8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C1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0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A2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A9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E5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5B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BE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8017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13F93">
            <w:pPr>
              <w:jc w:val="center"/>
              <w:rPr>
                <w:rFonts w:hint="eastAsia" w:ascii="宋体" w:hAnsi="宋体" w:eastAsia="宋体" w:cs="宋体"/>
                <w:i w:val="0"/>
                <w:iCs w:val="0"/>
                <w:color w:val="000000"/>
                <w:sz w:val="18"/>
                <w:szCs w:val="18"/>
                <w:u w:val="none"/>
              </w:rPr>
            </w:pPr>
          </w:p>
        </w:tc>
        <w:tc>
          <w:tcPr>
            <w:tcW w:w="13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C2DC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C3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DE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69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D8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4E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77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6C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FF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94A5">
            <w:pPr>
              <w:jc w:val="center"/>
              <w:rPr>
                <w:rFonts w:hint="eastAsia" w:ascii="微软雅黑" w:hAnsi="微软雅黑" w:eastAsia="微软雅黑" w:cs="微软雅黑"/>
                <w:i/>
                <w:iCs/>
                <w:color w:val="000000"/>
                <w:sz w:val="16"/>
                <w:szCs w:val="16"/>
                <w:u w:val="none"/>
              </w:rPr>
            </w:pPr>
          </w:p>
        </w:tc>
      </w:tr>
      <w:tr w14:paraId="2EBF6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5B64C">
            <w:pPr>
              <w:jc w:val="center"/>
              <w:rPr>
                <w:rFonts w:hint="eastAsia" w:ascii="宋体" w:hAnsi="宋体" w:eastAsia="宋体" w:cs="宋体"/>
                <w:i w:val="0"/>
                <w:iCs w:val="0"/>
                <w:color w:val="000000"/>
                <w:sz w:val="18"/>
                <w:szCs w:val="18"/>
                <w:u w:val="none"/>
              </w:rPr>
            </w:pPr>
          </w:p>
        </w:tc>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E7630">
            <w:pPr>
              <w:jc w:val="center"/>
              <w:rPr>
                <w:rFonts w:hint="eastAsia" w:ascii="宋体" w:hAnsi="宋体" w:eastAsia="宋体" w:cs="宋体"/>
                <w:i w:val="0"/>
                <w:iCs w:val="0"/>
                <w:color w:val="000000"/>
                <w:sz w:val="18"/>
                <w:szCs w:val="18"/>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9E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32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DA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CB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AA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CD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3C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75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CE0E">
            <w:pPr>
              <w:jc w:val="center"/>
              <w:rPr>
                <w:rFonts w:hint="eastAsia" w:ascii="微软雅黑" w:hAnsi="微软雅黑" w:eastAsia="微软雅黑" w:cs="微软雅黑"/>
                <w:i/>
                <w:iCs/>
                <w:color w:val="000000"/>
                <w:sz w:val="16"/>
                <w:szCs w:val="16"/>
                <w:u w:val="none"/>
              </w:rPr>
            </w:pPr>
          </w:p>
        </w:tc>
      </w:tr>
      <w:tr w14:paraId="6E488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2" w:hRule="atLeast"/>
        </w:trPr>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E3FEC">
            <w:pPr>
              <w:jc w:val="center"/>
              <w:rPr>
                <w:rFonts w:hint="eastAsia" w:ascii="宋体" w:hAnsi="宋体" w:eastAsia="宋体" w:cs="宋体"/>
                <w:i w:val="0"/>
                <w:iCs w:val="0"/>
                <w:color w:val="000000"/>
                <w:sz w:val="18"/>
                <w:szCs w:val="18"/>
                <w:u w:val="none"/>
              </w:rPr>
            </w:pPr>
          </w:p>
        </w:tc>
        <w:tc>
          <w:tcPr>
            <w:tcW w:w="13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284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A5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C3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51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DD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AB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D8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E6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58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D978">
            <w:pPr>
              <w:jc w:val="center"/>
              <w:rPr>
                <w:rFonts w:hint="eastAsia" w:ascii="微软雅黑" w:hAnsi="微软雅黑" w:eastAsia="微软雅黑" w:cs="微软雅黑"/>
                <w:i/>
                <w:iCs/>
                <w:color w:val="000000"/>
                <w:sz w:val="16"/>
                <w:szCs w:val="16"/>
                <w:u w:val="none"/>
              </w:rPr>
            </w:pPr>
          </w:p>
        </w:tc>
      </w:tr>
      <w:tr w14:paraId="7804F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C0971">
            <w:pPr>
              <w:jc w:val="center"/>
              <w:rPr>
                <w:rFonts w:hint="eastAsia" w:ascii="宋体" w:hAnsi="宋体" w:eastAsia="宋体" w:cs="宋体"/>
                <w:i w:val="0"/>
                <w:iCs w:val="0"/>
                <w:color w:val="000000"/>
                <w:sz w:val="18"/>
                <w:szCs w:val="18"/>
                <w:u w:val="none"/>
              </w:rPr>
            </w:pPr>
          </w:p>
        </w:tc>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765F8">
            <w:pPr>
              <w:jc w:val="center"/>
              <w:rPr>
                <w:rFonts w:hint="eastAsia" w:ascii="宋体" w:hAnsi="宋体" w:eastAsia="宋体" w:cs="宋体"/>
                <w:i w:val="0"/>
                <w:iCs w:val="0"/>
                <w:color w:val="000000"/>
                <w:sz w:val="18"/>
                <w:szCs w:val="18"/>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15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4D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A1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5F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CD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E2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30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D0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E056">
            <w:pPr>
              <w:jc w:val="center"/>
              <w:rPr>
                <w:rFonts w:hint="eastAsia" w:ascii="微软雅黑" w:hAnsi="微软雅黑" w:eastAsia="微软雅黑" w:cs="微软雅黑"/>
                <w:i/>
                <w:iCs/>
                <w:color w:val="000000"/>
                <w:sz w:val="16"/>
                <w:szCs w:val="16"/>
                <w:u w:val="none"/>
              </w:rPr>
            </w:pPr>
          </w:p>
        </w:tc>
      </w:tr>
      <w:tr w14:paraId="17793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727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C63D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4C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3A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45C1">
            <w:pPr>
              <w:rPr>
                <w:rFonts w:hint="eastAsia" w:ascii="宋体" w:hAnsi="宋体" w:eastAsia="宋体" w:cs="宋体"/>
                <w:i w:val="0"/>
                <w:iCs w:val="0"/>
                <w:color w:val="000000"/>
                <w:sz w:val="18"/>
                <w:szCs w:val="18"/>
                <w:u w:val="none"/>
              </w:rPr>
            </w:pPr>
          </w:p>
        </w:tc>
      </w:tr>
      <w:tr w14:paraId="20F7D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CA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02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3F5EB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我院科学合理编制预算，确保离退休人员经费及时足额拨付，无资金结余情况。</w:t>
            </w:r>
          </w:p>
        </w:tc>
      </w:tr>
      <w:tr w14:paraId="5BC7C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0F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02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22358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14:paraId="6778A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31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02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C6307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bl>
    <w:p w14:paraId="2D82FA19">
      <w:pPr>
        <w:widowControl/>
        <w:jc w:val="center"/>
        <w:outlineLvl w:val="0"/>
        <w:rPr>
          <w:rFonts w:hint="eastAsia" w:ascii="Times New Roman" w:hAnsi="Times New Roman" w:eastAsia="仿宋"/>
          <w:b w:val="0"/>
          <w:color w:val="auto"/>
          <w:highlight w:val="none"/>
        </w:rPr>
      </w:pPr>
      <w:bookmarkStart w:id="51" w:name="_Toc15396618"/>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49"/>
      <w:bookmarkEnd w:id="51"/>
      <w:bookmarkStart w:id="52" w:name="_Toc15396619"/>
    </w:p>
    <w:p w14:paraId="22004AB5">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3A9211E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2"/>
    </w:p>
    <w:p w14:paraId="600F973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0"/>
      <w:r>
        <w:rPr>
          <w:rFonts w:hint="eastAsia" w:ascii="Times New Roman" w:hAnsi="Times New Roman" w:eastAsia="仿宋_GB2312" w:cs="仿宋_GB2312"/>
          <w:color w:val="auto"/>
          <w:sz w:val="32"/>
          <w:szCs w:val="32"/>
          <w:highlight w:val="none"/>
        </w:rPr>
        <w:t>二、收入决算表</w:t>
      </w:r>
      <w:bookmarkEnd w:id="53"/>
    </w:p>
    <w:p w14:paraId="293047C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1"/>
      <w:r>
        <w:rPr>
          <w:rFonts w:hint="eastAsia" w:ascii="Times New Roman" w:hAnsi="Times New Roman" w:eastAsia="仿宋_GB2312" w:cs="仿宋_GB2312"/>
          <w:color w:val="auto"/>
          <w:sz w:val="32"/>
          <w:szCs w:val="32"/>
          <w:highlight w:val="none"/>
        </w:rPr>
        <w:t>三、支出决算表</w:t>
      </w:r>
      <w:bookmarkEnd w:id="54"/>
    </w:p>
    <w:p w14:paraId="665135E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2"/>
      <w:r>
        <w:rPr>
          <w:rFonts w:hint="eastAsia" w:ascii="Times New Roman" w:hAnsi="Times New Roman" w:eastAsia="仿宋_GB2312" w:cs="仿宋_GB2312"/>
          <w:color w:val="auto"/>
          <w:sz w:val="32"/>
          <w:szCs w:val="32"/>
          <w:highlight w:val="none"/>
        </w:rPr>
        <w:t>四、财政拨款收入支出决算总表</w:t>
      </w:r>
      <w:bookmarkEnd w:id="55"/>
    </w:p>
    <w:p w14:paraId="16DFBAF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3"/>
      <w:r>
        <w:rPr>
          <w:rFonts w:hint="eastAsia" w:ascii="Times New Roman" w:hAnsi="Times New Roman" w:eastAsia="仿宋_GB2312" w:cs="仿宋_GB2312"/>
          <w:color w:val="auto"/>
          <w:sz w:val="32"/>
          <w:szCs w:val="32"/>
          <w:highlight w:val="none"/>
        </w:rPr>
        <w:t>五、财政拨款支出决算明细表</w:t>
      </w:r>
      <w:bookmarkEnd w:id="56"/>
      <w:bookmarkStart w:id="57" w:name="_Toc15396624"/>
    </w:p>
    <w:p w14:paraId="2F39369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7"/>
    </w:p>
    <w:p w14:paraId="054B35B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5"/>
      <w:r>
        <w:rPr>
          <w:rFonts w:hint="eastAsia" w:ascii="Times New Roman" w:hAnsi="Times New Roman" w:eastAsia="仿宋_GB2312" w:cs="仿宋_GB2312"/>
          <w:color w:val="auto"/>
          <w:sz w:val="32"/>
          <w:szCs w:val="32"/>
          <w:highlight w:val="none"/>
        </w:rPr>
        <w:t>七、一般公共预算财政拨款支出决算明细表</w:t>
      </w:r>
      <w:bookmarkEnd w:id="58"/>
    </w:p>
    <w:p w14:paraId="7A32ADC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6"/>
      <w:r>
        <w:rPr>
          <w:rFonts w:hint="eastAsia" w:ascii="Times New Roman" w:hAnsi="Times New Roman" w:eastAsia="仿宋_GB2312" w:cs="仿宋_GB2312"/>
          <w:color w:val="auto"/>
          <w:sz w:val="32"/>
          <w:szCs w:val="32"/>
          <w:highlight w:val="none"/>
        </w:rPr>
        <w:t>八、一般公共预算财政拨款基本支出决算表</w:t>
      </w:r>
      <w:bookmarkEnd w:id="59"/>
    </w:p>
    <w:p w14:paraId="0F81319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7"/>
      <w:r>
        <w:rPr>
          <w:rFonts w:hint="eastAsia" w:ascii="Times New Roman" w:hAnsi="Times New Roman" w:eastAsia="仿宋_GB2312" w:cs="仿宋_GB2312"/>
          <w:color w:val="auto"/>
          <w:sz w:val="32"/>
          <w:szCs w:val="32"/>
          <w:highlight w:val="none"/>
        </w:rPr>
        <w:t>九、一般公共预算财政拨款项目支出决算表</w:t>
      </w:r>
      <w:bookmarkEnd w:id="60"/>
    </w:p>
    <w:p w14:paraId="3AD52B0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8"/>
      <w:r>
        <w:rPr>
          <w:rFonts w:hint="eastAsia" w:ascii="Times New Roman" w:hAnsi="Times New Roman" w:eastAsia="仿宋_GB2312" w:cs="仿宋_GB2312"/>
          <w:color w:val="auto"/>
          <w:sz w:val="32"/>
          <w:szCs w:val="32"/>
          <w:highlight w:val="none"/>
        </w:rPr>
        <w:t>十、</w:t>
      </w:r>
      <w:bookmarkEnd w:id="61"/>
      <w:r>
        <w:rPr>
          <w:rFonts w:hint="eastAsia" w:ascii="Times New Roman" w:hAnsi="Times New Roman" w:eastAsia="仿宋_GB2312" w:cs="仿宋_GB2312"/>
          <w:color w:val="auto"/>
          <w:sz w:val="32"/>
          <w:szCs w:val="32"/>
          <w:highlight w:val="none"/>
        </w:rPr>
        <w:t>政府性基金预算财政拨款收入支出决算表</w:t>
      </w:r>
    </w:p>
    <w:p w14:paraId="0FD24CD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9"/>
      <w:r>
        <w:rPr>
          <w:rFonts w:hint="eastAsia" w:ascii="Times New Roman" w:hAnsi="Times New Roman" w:eastAsia="仿宋_GB2312" w:cs="仿宋_GB2312"/>
          <w:color w:val="auto"/>
          <w:sz w:val="32"/>
          <w:szCs w:val="32"/>
          <w:highlight w:val="none"/>
        </w:rPr>
        <w:t>十一、</w:t>
      </w:r>
      <w:bookmarkEnd w:id="62"/>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165AF35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30"/>
      <w:r>
        <w:rPr>
          <w:rFonts w:hint="eastAsia" w:ascii="Times New Roman" w:hAnsi="Times New Roman" w:eastAsia="仿宋_GB2312" w:cs="仿宋_GB2312"/>
          <w:color w:val="auto"/>
          <w:sz w:val="32"/>
          <w:szCs w:val="32"/>
          <w:highlight w:val="none"/>
        </w:rPr>
        <w:t>十二、</w:t>
      </w:r>
      <w:bookmarkEnd w:id="63"/>
      <w:r>
        <w:rPr>
          <w:rFonts w:hint="eastAsia" w:ascii="Times New Roman" w:hAnsi="Times New Roman" w:eastAsia="仿宋_GB2312" w:cs="仿宋_GB2312"/>
          <w:color w:val="auto"/>
          <w:sz w:val="32"/>
          <w:szCs w:val="32"/>
          <w:highlight w:val="none"/>
          <w:lang w:eastAsia="zh-CN"/>
        </w:rPr>
        <w:t>国有资本经营预算财政拨款支出决算表</w:t>
      </w:r>
    </w:p>
    <w:p w14:paraId="4B807AC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4" w:name="_Toc15396631"/>
      <w:r>
        <w:rPr>
          <w:rFonts w:hint="eastAsia" w:ascii="Times New Roman" w:hAnsi="Times New Roman" w:eastAsia="仿宋_GB2312" w:cs="仿宋_GB2312"/>
          <w:color w:val="auto"/>
          <w:sz w:val="32"/>
          <w:szCs w:val="32"/>
          <w:highlight w:val="none"/>
        </w:rPr>
        <w:t>十三、</w:t>
      </w:r>
      <w:bookmarkEnd w:id="64"/>
      <w:r>
        <w:rPr>
          <w:rFonts w:hint="eastAsia" w:ascii="Times New Roman" w:hAnsi="Times New Roman" w:eastAsia="仿宋_GB2312" w:cs="仿宋_GB2312"/>
          <w:color w:val="auto"/>
          <w:sz w:val="32"/>
          <w:szCs w:val="32"/>
          <w:highlight w:val="none"/>
          <w:lang w:eastAsia="zh-CN"/>
        </w:rPr>
        <w:t>财政拨款“三公”经费支出决算表</w:t>
      </w:r>
    </w:p>
    <w:p w14:paraId="782EE0AD">
      <w:pPr>
        <w:rPr>
          <w:rFonts w:hint="eastAsia" w:ascii="Times New Roman" w:hAnsi="Times New Roman"/>
          <w:lang w:eastAsia="zh-CN"/>
        </w:rPr>
      </w:pPr>
    </w:p>
    <w:sectPr>
      <w:footerReference r:id="rId8" w:type="first"/>
      <w:footerReference r:id="rId7" w:type="default"/>
      <w:pgSz w:w="11906" w:h="16838"/>
      <w:pgMar w:top="1440" w:right="1800" w:bottom="1440" w:left="1800"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Calibri">
    <w:panose1 w:val="020F0502020204030204"/>
    <w:charset w:val="86"/>
    <w:family w:val="auto"/>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4EDF4">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17892A">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317892A">
                    <w:pPr>
                      <w:pStyle w:val="10"/>
                    </w:pPr>
                    <w:r>
                      <w:fldChar w:fldCharType="begin"/>
                    </w:r>
                    <w:r>
                      <w:instrText xml:space="preserve"> PAGE  \* MERGEFORMAT </w:instrText>
                    </w:r>
                    <w:r>
                      <w:fldChar w:fldCharType="separate"/>
                    </w:r>
                    <w:r>
                      <w:t>- 1 -</w:t>
                    </w:r>
                    <w:r>
                      <w:fldChar w:fldCharType="end"/>
                    </w:r>
                  </w:p>
                </w:txbxContent>
              </v:textbox>
            </v:shape>
          </w:pict>
        </mc:Fallback>
      </mc:AlternateContent>
    </w:r>
  </w:p>
  <w:p w14:paraId="61032B9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FC2A4">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8D10EC">
                          <w:pPr>
                            <w:pStyle w:val="10"/>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28D10EC">
                    <w:pPr>
                      <w:pStyle w:val="10"/>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A93A3">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FB1D89">
                          <w:pPr>
                            <w:pStyle w:val="10"/>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4FB1D89">
                    <w:pPr>
                      <w:pStyle w:val="10"/>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p>
                </w:txbxContent>
              </v:textbox>
            </v:shape>
          </w:pict>
        </mc:Fallback>
      </mc:AlternateContent>
    </w:r>
  </w:p>
  <w:p w14:paraId="1E232FCA">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6AC6C">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86AD26">
                          <w:pPr>
                            <w:pStyle w:val="10"/>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A86AD26">
                    <w:pPr>
                      <w:pStyle w:val="10"/>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F4D21">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0C984">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84438F"/>
    <w:multiLevelType w:val="singleLevel"/>
    <w:tmpl w:val="CB84438F"/>
    <w:lvl w:ilvl="0" w:tentative="0">
      <w:start w:val="2"/>
      <w:numFmt w:val="chineseCounting"/>
      <w:suff w:val="nothing"/>
      <w:lvlText w:val="（%1）"/>
      <w:lvlJc w:val="left"/>
      <w:rPr>
        <w:rFonts w:hint="eastAsia"/>
      </w:rPr>
    </w:lvl>
  </w:abstractNum>
  <w:abstractNum w:abstractNumId="1">
    <w:nsid w:val="D1B88CF2"/>
    <w:multiLevelType w:val="singleLevel"/>
    <w:tmpl w:val="D1B88CF2"/>
    <w:lvl w:ilvl="0" w:tentative="0">
      <w:start w:val="2"/>
      <w:numFmt w:val="chineseCounting"/>
      <w:suff w:val="nothing"/>
      <w:lvlText w:val="（%1）"/>
      <w:lvlJc w:val="left"/>
      <w:rPr>
        <w:rFonts w:hint="eastAsia"/>
      </w:rPr>
    </w:lvl>
  </w:abstractNum>
  <w:abstractNum w:abstractNumId="2">
    <w:nsid w:val="499C4D6E"/>
    <w:multiLevelType w:val="singleLevel"/>
    <w:tmpl w:val="499C4D6E"/>
    <w:lvl w:ilvl="0" w:tentative="0">
      <w:start w:val="2"/>
      <w:numFmt w:val="chineseCounting"/>
      <w:suff w:val="nothing"/>
      <w:lvlText w:val="（%1）"/>
      <w:lvlJc w:val="left"/>
      <w:rPr>
        <w:rFonts w:hint="eastAsia"/>
      </w:rPr>
    </w:lvl>
  </w:abstractNum>
  <w:abstractNum w:abstractNumId="3">
    <w:nsid w:val="57CAD3BE"/>
    <w:multiLevelType w:val="singleLevel"/>
    <w:tmpl w:val="57CAD3BE"/>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9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6BD404D"/>
    <w:rsid w:val="07996F6E"/>
    <w:rsid w:val="07DFD8BA"/>
    <w:rsid w:val="07EA2C20"/>
    <w:rsid w:val="091268D2"/>
    <w:rsid w:val="0926412B"/>
    <w:rsid w:val="09867E8F"/>
    <w:rsid w:val="09F91840"/>
    <w:rsid w:val="0A2032A3"/>
    <w:rsid w:val="0CA37841"/>
    <w:rsid w:val="0CA8290A"/>
    <w:rsid w:val="0D35B1ED"/>
    <w:rsid w:val="0DC14423"/>
    <w:rsid w:val="0E254B6B"/>
    <w:rsid w:val="0F98263C"/>
    <w:rsid w:val="101860EC"/>
    <w:rsid w:val="101F47CC"/>
    <w:rsid w:val="10C055FF"/>
    <w:rsid w:val="11694EBD"/>
    <w:rsid w:val="11772AA4"/>
    <w:rsid w:val="118107EC"/>
    <w:rsid w:val="12E24EE2"/>
    <w:rsid w:val="13D50BC4"/>
    <w:rsid w:val="14B17F78"/>
    <w:rsid w:val="150D43F1"/>
    <w:rsid w:val="165E0673"/>
    <w:rsid w:val="16B831D5"/>
    <w:rsid w:val="16BB723D"/>
    <w:rsid w:val="17E50567"/>
    <w:rsid w:val="186504BB"/>
    <w:rsid w:val="19A445FC"/>
    <w:rsid w:val="1AA2382E"/>
    <w:rsid w:val="1BE8440E"/>
    <w:rsid w:val="1D155CEE"/>
    <w:rsid w:val="1D1638FE"/>
    <w:rsid w:val="1E312DEB"/>
    <w:rsid w:val="1E740ACF"/>
    <w:rsid w:val="1F9279CD"/>
    <w:rsid w:val="1FF35744"/>
    <w:rsid w:val="1FF6BC77"/>
    <w:rsid w:val="2186353C"/>
    <w:rsid w:val="21FF50C2"/>
    <w:rsid w:val="23024E6A"/>
    <w:rsid w:val="23860B96"/>
    <w:rsid w:val="23C465C3"/>
    <w:rsid w:val="240371BF"/>
    <w:rsid w:val="244F3473"/>
    <w:rsid w:val="24C97D99"/>
    <w:rsid w:val="25A718F0"/>
    <w:rsid w:val="25BB59F6"/>
    <w:rsid w:val="260F557C"/>
    <w:rsid w:val="26970054"/>
    <w:rsid w:val="27CC1EEA"/>
    <w:rsid w:val="281408E2"/>
    <w:rsid w:val="29FA0F90"/>
    <w:rsid w:val="29FD04D3"/>
    <w:rsid w:val="2B911481"/>
    <w:rsid w:val="2BFF7BC6"/>
    <w:rsid w:val="2C6D3C9C"/>
    <w:rsid w:val="2C8A61B5"/>
    <w:rsid w:val="2D986AF6"/>
    <w:rsid w:val="2DF04E50"/>
    <w:rsid w:val="2E586DFA"/>
    <w:rsid w:val="2F040D46"/>
    <w:rsid w:val="2F6B035B"/>
    <w:rsid w:val="2FAE5751"/>
    <w:rsid w:val="2FB1A395"/>
    <w:rsid w:val="2FD9A7D8"/>
    <w:rsid w:val="2FDBF714"/>
    <w:rsid w:val="30AB6865"/>
    <w:rsid w:val="316D2048"/>
    <w:rsid w:val="319F7F4E"/>
    <w:rsid w:val="31D73965"/>
    <w:rsid w:val="32BD1EF1"/>
    <w:rsid w:val="3304709D"/>
    <w:rsid w:val="33242BDA"/>
    <w:rsid w:val="3365600C"/>
    <w:rsid w:val="33A773CB"/>
    <w:rsid w:val="33C06DA7"/>
    <w:rsid w:val="349D6851"/>
    <w:rsid w:val="35ED19A9"/>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1617E6"/>
    <w:rsid w:val="3D98207C"/>
    <w:rsid w:val="3DEE7CF3"/>
    <w:rsid w:val="3E740A63"/>
    <w:rsid w:val="3E78745D"/>
    <w:rsid w:val="3EE17838"/>
    <w:rsid w:val="3F55381A"/>
    <w:rsid w:val="3F7F7599"/>
    <w:rsid w:val="3FF4CAE0"/>
    <w:rsid w:val="3FF7B227"/>
    <w:rsid w:val="41173D7E"/>
    <w:rsid w:val="41EE2D31"/>
    <w:rsid w:val="44E268DA"/>
    <w:rsid w:val="450D13D7"/>
    <w:rsid w:val="45506656"/>
    <w:rsid w:val="486A6C7A"/>
    <w:rsid w:val="496B2EB9"/>
    <w:rsid w:val="4A627F82"/>
    <w:rsid w:val="4B0E749A"/>
    <w:rsid w:val="4B2477C4"/>
    <w:rsid w:val="4B4F25DA"/>
    <w:rsid w:val="4B6E4EE3"/>
    <w:rsid w:val="4BE068DB"/>
    <w:rsid w:val="4D577224"/>
    <w:rsid w:val="4DBF1CEB"/>
    <w:rsid w:val="4DF0007C"/>
    <w:rsid w:val="4EAB630A"/>
    <w:rsid w:val="4ECE2238"/>
    <w:rsid w:val="4EE259CC"/>
    <w:rsid w:val="4F833267"/>
    <w:rsid w:val="4FE9BD67"/>
    <w:rsid w:val="4FFB052F"/>
    <w:rsid w:val="51CB2747"/>
    <w:rsid w:val="537E6D0A"/>
    <w:rsid w:val="53F74C96"/>
    <w:rsid w:val="5492579E"/>
    <w:rsid w:val="55170BA8"/>
    <w:rsid w:val="553218C9"/>
    <w:rsid w:val="56116B96"/>
    <w:rsid w:val="567E1AA5"/>
    <w:rsid w:val="56E47B74"/>
    <w:rsid w:val="57175D52"/>
    <w:rsid w:val="5762672B"/>
    <w:rsid w:val="57BD3DD4"/>
    <w:rsid w:val="5AB04BD0"/>
    <w:rsid w:val="5AF80325"/>
    <w:rsid w:val="5AF92295"/>
    <w:rsid w:val="5B250254"/>
    <w:rsid w:val="5BDD79E6"/>
    <w:rsid w:val="5BDD7C46"/>
    <w:rsid w:val="5BF561CA"/>
    <w:rsid w:val="5BFF5DFC"/>
    <w:rsid w:val="5CD71FC4"/>
    <w:rsid w:val="5D1F11B5"/>
    <w:rsid w:val="5D695134"/>
    <w:rsid w:val="5DAE1B18"/>
    <w:rsid w:val="5DE7D9E5"/>
    <w:rsid w:val="5ECEC941"/>
    <w:rsid w:val="5FBF9FF3"/>
    <w:rsid w:val="5FCD4E2C"/>
    <w:rsid w:val="5FEF394A"/>
    <w:rsid w:val="5FF67715"/>
    <w:rsid w:val="5FFC2665"/>
    <w:rsid w:val="62BF3928"/>
    <w:rsid w:val="63B3701E"/>
    <w:rsid w:val="64526CF8"/>
    <w:rsid w:val="647F5392"/>
    <w:rsid w:val="65E66580"/>
    <w:rsid w:val="664B1D71"/>
    <w:rsid w:val="664B4E8E"/>
    <w:rsid w:val="66D02156"/>
    <w:rsid w:val="67277B67"/>
    <w:rsid w:val="67AA3209"/>
    <w:rsid w:val="698D0931"/>
    <w:rsid w:val="6A7FE5F3"/>
    <w:rsid w:val="6B053271"/>
    <w:rsid w:val="6B286A04"/>
    <w:rsid w:val="6BDD78B3"/>
    <w:rsid w:val="6C4A05C8"/>
    <w:rsid w:val="6C8742B8"/>
    <w:rsid w:val="6DBF5E93"/>
    <w:rsid w:val="6DFF077E"/>
    <w:rsid w:val="6E4F1949"/>
    <w:rsid w:val="6E714EF0"/>
    <w:rsid w:val="6E7E3605"/>
    <w:rsid w:val="6E7FDCC7"/>
    <w:rsid w:val="6ED6A62E"/>
    <w:rsid w:val="6EE00B15"/>
    <w:rsid w:val="6F6FB3EB"/>
    <w:rsid w:val="6F8731EA"/>
    <w:rsid w:val="6FCE6052"/>
    <w:rsid w:val="6FD57C00"/>
    <w:rsid w:val="6FEFFFD8"/>
    <w:rsid w:val="6FF5CC65"/>
    <w:rsid w:val="6FFB47EC"/>
    <w:rsid w:val="6FFF034A"/>
    <w:rsid w:val="70484440"/>
    <w:rsid w:val="706202C3"/>
    <w:rsid w:val="712A28F1"/>
    <w:rsid w:val="715C0E4B"/>
    <w:rsid w:val="71992E7C"/>
    <w:rsid w:val="72233669"/>
    <w:rsid w:val="72734D90"/>
    <w:rsid w:val="72F13B80"/>
    <w:rsid w:val="73160E6D"/>
    <w:rsid w:val="7332FE48"/>
    <w:rsid w:val="73AB61DA"/>
    <w:rsid w:val="73AD73D5"/>
    <w:rsid w:val="73B6EB34"/>
    <w:rsid w:val="73FA497D"/>
    <w:rsid w:val="744731E5"/>
    <w:rsid w:val="74BBD01D"/>
    <w:rsid w:val="74ED5379"/>
    <w:rsid w:val="75970A0E"/>
    <w:rsid w:val="75DEEEC2"/>
    <w:rsid w:val="75E32345"/>
    <w:rsid w:val="76E3355F"/>
    <w:rsid w:val="76FF5125"/>
    <w:rsid w:val="776F6FFA"/>
    <w:rsid w:val="778769C8"/>
    <w:rsid w:val="77A75DCA"/>
    <w:rsid w:val="77DC22F5"/>
    <w:rsid w:val="783E271A"/>
    <w:rsid w:val="7856695F"/>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47970"/>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2"/>
    <w:qFormat/>
    <w:uiPriority w:val="9"/>
    <w:rPr>
      <w:rFonts w:ascii="Times New Roman" w:hAnsi="Times New Roman"/>
      <w:b/>
      <w:bCs/>
      <w:kern w:val="44"/>
      <w:sz w:val="44"/>
      <w:szCs w:val="44"/>
    </w:rPr>
  </w:style>
  <w:style w:type="character" w:customStyle="1" w:styleId="29">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4"/>
    <w:qFormat/>
    <w:uiPriority w:val="9"/>
    <w:rPr>
      <w:rFonts w:ascii="Times New Roman" w:hAnsi="Times New Roman"/>
      <w:b/>
      <w:bCs/>
      <w:kern w:val="2"/>
      <w:sz w:val="32"/>
      <w:szCs w:val="32"/>
    </w:rPr>
  </w:style>
  <w:style w:type="paragraph" w:customStyle="1" w:styleId="33">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25&#24180;\&#36130;&#21153;&#37096;\2024&#24180;&#20915;&#31639;&#20844;&#24320;\2024&#24180;&#20844;&#24320;\&#22522;&#30784;&#34920;&#65288;&#30011;&#22270;&#29992;&#65289;.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24&#24180;\&#36130;&#21153;&#37096;\2024&#24180;&#20915;&#31639;&#20844;&#24320;\2023-508901-&#22235;&#24029;&#30465;&#24635;&#24037;&#20250;&#25104;&#37117;&#24037;&#20154;&#30103;&#20859;&#38498;&#20915;&#31639;&#20844;&#24320;&#34920;(1)\&#22522;&#30784;&#34920;&#65288;&#30011;&#22270;&#29992;&#65289;.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25&#24180;\&#36130;&#21153;&#37096;\2024&#24180;&#20915;&#31639;&#20844;&#24320;\2024&#24180;&#20844;&#24320;\&#22522;&#30784;&#34920;&#65288;&#30011;&#22270;&#29992;&#65289;.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25&#24180;\&#36130;&#21153;&#37096;\2024&#24180;&#20915;&#31639;&#20844;&#24320;\2024&#24180;&#20844;&#24320;\&#22522;&#30784;&#34920;&#65288;&#30011;&#22270;&#29992;&#65289;.xls" TargetMode="External"/></Relationships>
</file>

<file path=word/charts/_rels/chart6.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C:\Users\Administrator\Desktop\2025&#24180;\&#36130;&#21153;&#37096;\2024&#24180;&#20915;&#31639;&#20844;&#24320;\2024&#24180;&#20844;&#24320;\&#22522;&#30784;&#34920;&#65288;&#30011;&#22270;&#29992;&#6528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333333"/>
                </a:solidFill>
                <a:latin typeface="宋体" panose="02010600030101010101" charset="-122"/>
                <a:ea typeface="宋体" panose="02010600030101010101" charset="-122"/>
                <a:cs typeface="宋体" panose="02010600030101010101" charset="-122"/>
              </a:defRPr>
            </a:pPr>
            <a:r>
              <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rPr>
              <a:t>收、支决算总计变动情况</a:t>
            </a:r>
            <a:endPar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325545210834186"/>
          <c:y val="0.0360978883913537"/>
        </c:manualLayout>
      </c:layout>
      <c:overlay val="0"/>
    </c:title>
    <c:autoTitleDeleted val="0"/>
    <c:plotArea>
      <c:layout>
        <c:manualLayout>
          <c:layoutTarget val="inner"/>
          <c:xMode val="edge"/>
          <c:yMode val="edge"/>
          <c:x val="0.0596846611673802"/>
          <c:y val="0.108729908603845"/>
          <c:w val="0.921102641745849"/>
          <c:h val="0.786794831389852"/>
        </c:manualLayout>
      </c:layout>
      <c:barChart>
        <c:barDir val="col"/>
        <c:grouping val="clustered"/>
        <c:varyColors val="0"/>
        <c:ser>
          <c:idx val="0"/>
          <c:order val="0"/>
          <c:tx>
            <c:strRef>
              <c:f>'[基础表（画图用）.xls]图1、图4 、图5'!$B$1</c:f>
              <c:strCache>
                <c:ptCount val="1"/>
                <c:pt idx="0">
                  <c:v>2024年度收、支决算总计变动情况</c:v>
                </c:pt>
              </c:strCache>
            </c:strRef>
          </c:tx>
          <c:spPr>
            <a:solidFill>
              <a:srgbClr val="5B9BD5">
                <a:alpha val="100000"/>
              </a:srgbClr>
            </a:solidFill>
            <a:ln w="3175">
              <a:noFill/>
            </a:ln>
          </c:spPr>
          <c:invertIfNegative val="0"/>
          <c:dPt>
            <c:idx val="1"/>
            <c:invertIfNegative val="0"/>
            <c:bubble3D val="0"/>
            <c:explosion val="0"/>
            <c:spPr>
              <a:solidFill>
                <a:srgbClr val="C00000">
                  <a:alpha val="100000"/>
                </a:srgbClr>
              </a:solidFill>
              <a:ln w="3175">
                <a:noFill/>
              </a:ln>
            </c:spPr>
          </c:dPt>
          <c:dPt>
            <c:idx val="2"/>
            <c:invertIfNegative val="0"/>
            <c:bubble3D val="0"/>
            <c:explosion val="0"/>
            <c:spPr>
              <a:solidFill>
                <a:srgbClr val="ED7D31">
                  <a:alpha val="100000"/>
                </a:srgbClr>
              </a:solidFill>
              <a:ln w="3175">
                <a:noFill/>
              </a:ln>
            </c:spPr>
          </c:dPt>
          <c:dPt>
            <c:idx val="3"/>
            <c:invertIfNegative val="0"/>
            <c:bubble3D val="0"/>
            <c:explosion val="0"/>
            <c:spPr>
              <a:solidFill>
                <a:srgbClr val="7030A0">
                  <a:alpha val="100000"/>
                </a:srgbClr>
              </a:solidFill>
              <a:ln w="3175">
                <a:noFill/>
              </a:ln>
            </c:spPr>
          </c:dPt>
          <c:dLbls>
            <c:dLbl>
              <c:idx val="0"/>
              <c:layout>
                <c:manualLayout>
                  <c:x val="-0.00544736483725998"/>
                  <c:y val="0.0128504672897196"/>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19978210540651"/>
                      <c:h val="0.081386292834891"/>
                    </c:manualLayout>
                  </c15:layout>
                </c:ext>
              </c:extLst>
            </c:dLbl>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'[基础表（画图用）.xls]图1、图4 、图5'!$A$2:$A$5</c:f>
              <c:strCache>
                <c:ptCount val="4"/>
                <c:pt idx="0">
                  <c:v>本年收支决算总计（万元）</c:v>
                </c:pt>
                <c:pt idx="1">
                  <c:v>上年收支决算总计（万元）</c:v>
                </c:pt>
                <c:pt idx="2">
                  <c:v>较上年增加（万元）</c:v>
                </c:pt>
                <c:pt idx="3">
                  <c:v>较上年变动（%）</c:v>
                </c:pt>
              </c:strCache>
            </c:strRef>
          </c:cat>
          <c:val>
            <c:numRef>
              <c:f>'[基础表（画图用）.xls]图1、图4 、图5'!$B$2:$B$5</c:f>
              <c:numCache>
                <c:formatCode>General</c:formatCode>
                <c:ptCount val="4"/>
                <c:pt idx="0">
                  <c:v>262.28</c:v>
                </c:pt>
                <c:pt idx="1">
                  <c:v>146.9</c:v>
                </c:pt>
                <c:pt idx="2">
                  <c:v>115.38</c:v>
                </c:pt>
                <c:pt idx="3" c:formatCode="0.0%">
                  <c:v>0.785432266848196</c:v>
                </c:pt>
              </c:numCache>
            </c:numRef>
          </c:val>
        </c:ser>
        <c:dLbls>
          <c:showLegendKey val="0"/>
          <c:showVal val="0"/>
          <c:showCatName val="0"/>
          <c:showSerName val="0"/>
          <c:showPercent val="0"/>
          <c:showBubbleSize val="0"/>
        </c:dLbls>
        <c:gapWidth val="75"/>
        <c:overlap val="0"/>
        <c:axId val="656756906"/>
        <c:axId val="791966844"/>
      </c:barChart>
      <c:catAx>
        <c:axId val="656756906"/>
        <c:scaling>
          <c:orientation val="minMax"/>
        </c:scaling>
        <c:delete val="1"/>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791966844"/>
        <c:crosses val="autoZero"/>
        <c:auto val="1"/>
        <c:lblAlgn val="ctr"/>
        <c:lblOffset val="100"/>
        <c:noMultiLvlLbl val="0"/>
      </c:catAx>
      <c:valAx>
        <c:axId val="79196684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656756906"/>
        <c:crosses val="autoZero"/>
        <c:crossBetween val="between"/>
      </c:valAx>
      <c:spPr>
        <a:noFill/>
        <a:ln w="3175">
          <a:noFill/>
        </a:ln>
      </c:spPr>
    </c:plotArea>
    <c:legend>
      <c:legendPos val="b"/>
      <c:layout>
        <c:manualLayout>
          <c:xMode val="edge"/>
          <c:yMode val="edge"/>
          <c:x val="0.0319831624909811"/>
          <c:y val="0.912154326249085"/>
          <c:w val="0.962932024642372"/>
          <c:h val="0.0614496689865897"/>
        </c:manualLayout>
      </c:layout>
      <c:overlay val="0"/>
      <c:spPr>
        <a:noFill/>
        <a:ln w="3175">
          <a:noFill/>
        </a:ln>
      </c:spPr>
      <c:txPr>
        <a:bodyPr rot="0" spcFirstLastPara="0" vertOverflow="ellipsis" vert="horz" wrap="square" anchor="ctr" anchorCtr="1"/>
        <a:lstStyle/>
        <a:p>
          <a:pPr>
            <a:defRPr lang="zh-CN" sz="825"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e1e72af9-9eb2-4f44-89ff-019da7c7cf13}"/>
      </c:ext>
    </c:extLst>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r>
              <a:t>收入决算结构</a:t>
            </a:r>
            <a:endParaRPr sz="1400" b="0" i="0" u="none" strike="noStrike" baseline="0">
              <a:solidFill>
                <a:srgbClr val="333333">
                  <a:alpha val="100000"/>
                </a:srgbClr>
              </a:solidFill>
              <a:latin typeface="宋体" panose="02010600030101010101" charset="-122"/>
              <a:ea typeface="宋体" panose="02010600030101010101" charset="-122"/>
              <a:cs typeface="宋体" panose="02010600030101010101" charset="-122"/>
            </a:endParaRPr>
          </a:p>
        </c:rich>
      </c:tx>
      <c:layout/>
      <c:overlay val="0"/>
    </c:title>
    <c:autoTitleDeleted val="0"/>
    <c:view3D>
      <c:rotX val="30"/>
      <c:rotY val="0"/>
      <c:depthPercent val="100"/>
      <c:rAngAx val="0"/>
      <c:perspective val="0"/>
    </c:view3D>
    <c:floor>
      <c:thickness val="0"/>
    </c:floor>
    <c:sideWall>
      <c:thickness val="0"/>
    </c:sideWall>
    <c:backWall>
      <c:thickness val="0"/>
    </c:backWall>
    <c:plotArea>
      <c:layout>
        <c:manualLayout>
          <c:layoutTarget val="inner"/>
          <c:xMode val="edge"/>
          <c:yMode val="edge"/>
          <c:x val="0.0270060874377421"/>
          <c:y val="0.318002628120894"/>
          <c:w val="0.951300498063088"/>
          <c:h val="0.640698329266003"/>
        </c:manualLayout>
      </c:layout>
      <c:pie3DChart>
        <c:varyColors val="1"/>
        <c:ser>
          <c:idx val="0"/>
          <c:order val="0"/>
          <c:tx>
            <c:strRef>
              <c:f>'[基础表(1).xls]Sheet1'!$B$1</c:f>
              <c:strCache>
                <c:ptCount val="1"/>
                <c:pt idx="0">
                  <c:v>省总成都工人疗养院2020年度收入决算结构</c:v>
                </c:pt>
              </c:strCache>
            </c:strRef>
          </c:tx>
          <c:spPr>
            <a:ln>
              <a:noFill/>
            </a:ln>
          </c:spPr>
          <c:explosion val="0"/>
          <c:dPt>
            <c:idx val="0"/>
            <c:bubble3D val="0"/>
            <c:explosion val="0"/>
            <c:spPr>
              <a:solidFill>
                <a:schemeClr val="accent1"/>
              </a:solidFill>
              <a:ln w="25400">
                <a:noFill/>
              </a:ln>
              <a:effectLst/>
            </c:spPr>
          </c:dPt>
          <c:dPt>
            <c:idx val="1"/>
            <c:bubble3D val="0"/>
            <c:explosion val="0"/>
            <c:spPr>
              <a:solidFill>
                <a:schemeClr val="accent2"/>
              </a:solidFill>
              <a:ln w="25400">
                <a:noFill/>
              </a:ln>
              <a:effectLst/>
            </c:spPr>
          </c:dPt>
          <c:dPt>
            <c:idx val="2"/>
            <c:bubble3D val="0"/>
            <c:explosion val="0"/>
            <c:spPr>
              <a:solidFill>
                <a:schemeClr val="accent3"/>
              </a:solidFill>
              <a:ln w="25400">
                <a:noFill/>
              </a:ln>
              <a:effectLst/>
            </c:spPr>
          </c:dPt>
          <c:dPt>
            <c:idx val="3"/>
            <c:bubble3D val="0"/>
            <c:explosion val="0"/>
            <c:spPr>
              <a:ln>
                <a:noFill/>
              </a:ln>
            </c:spPr>
          </c:dPt>
          <c:dPt>
            <c:idx val="4"/>
            <c:bubble3D val="0"/>
            <c:explosion val="0"/>
            <c:spPr>
              <a:solidFill>
                <a:schemeClr val="bg1">
                  <a:lumMod val="65000"/>
                </a:schemeClr>
              </a:solidFill>
              <a:ln>
                <a:noFill/>
              </a:ln>
            </c:spPr>
          </c:dPt>
          <c:dPt>
            <c:idx val="5"/>
            <c:bubble3D val="0"/>
            <c:explosion val="0"/>
            <c:spPr>
              <a:ln>
                <a:noFill/>
              </a:ln>
            </c:spPr>
          </c:dPt>
          <c:dPt>
            <c:idx val="6"/>
            <c:bubble3D val="0"/>
            <c:explosion val="0"/>
            <c:spPr>
              <a:ln>
                <a:noFill/>
              </a:ln>
            </c:spPr>
          </c:dPt>
          <c:dPt>
            <c:idx val="7"/>
            <c:bubble3D val="0"/>
            <c:explosion val="0"/>
            <c:spPr>
              <a:ln>
                <a:noFill/>
              </a:ln>
            </c:spPr>
          </c:dPt>
          <c:dLbls>
            <c:dLbl>
              <c:idx val="0"/>
              <c:layout>
                <c:manualLayout>
                  <c:x val="-0.000798846737792999"/>
                  <c:y val="-0.236696268989044"/>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en-US" altLang="zh-CN" b="0" i="0" u="none" strike="noStrike" baseline="0">
                        <a:solidFill>
                          <a:srgbClr val="333333"/>
                        </a:solidFill>
                        <a:latin typeface="宋体" panose="02010600030101010101" charset="-122"/>
                        <a:ea typeface="宋体" panose="02010600030101010101" charset="-122"/>
                        <a:cs typeface="宋体" panose="02010600030101010101" charset="-122"/>
                      </a:rPr>
                      <a:t>262.28</a:t>
                    </a:r>
                    <a:r>
                      <a:rPr b="0" i="0" u="none" strike="noStrike" baseline="0">
                        <a:solidFill>
                          <a:srgbClr val="333333"/>
                        </a:solidFill>
                        <a:latin typeface="宋体" panose="02010600030101010101" charset="-122"/>
                        <a:ea typeface="宋体" panose="02010600030101010101" charset="-122"/>
                        <a:cs typeface="宋体" panose="02010600030101010101" charset="-122"/>
                      </a:rPr>
                      <a:t>万元</a:t>
                    </a:r>
                    <a:endParaRPr b="0" i="0" u="none" strike="noStrike" baseline="0">
                      <a:solidFill>
                        <a:srgbClr val="333333"/>
                      </a:solidFill>
                      <a:latin typeface="宋体" panose="02010600030101010101" charset="-122"/>
                      <a:ea typeface="宋体" panose="02010600030101010101" charset="-122"/>
                      <a:cs typeface="宋体" panose="02010600030101010101" charset="-122"/>
                    </a:endParaRPr>
                  </a:p>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en-US" altLang="zh-CN" b="0" i="0" u="none" strike="noStrike" baseline="0">
                        <a:solidFill>
                          <a:srgbClr val="000000"/>
                        </a:solidFill>
                        <a:latin typeface="宋体" panose="02010600030101010101" charset="-122"/>
                        <a:ea typeface="宋体" panose="02010600030101010101" charset="-122"/>
                        <a:cs typeface="宋体" panose="02010600030101010101" charset="-122"/>
                      </a:rPr>
                      <a:t>100%</a:t>
                    </a:r>
                    <a:endParaRPr lang="en-US" altLang="zh-CN"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0"/>
              <c:showBubbleSize val="0"/>
              <c:extLst>
                <c:ext xmlns:c15="http://schemas.microsoft.com/office/drawing/2012/chart" uri="{CE6537A1-D6FC-4f65-9D91-7224C49458BB}">
                  <c15:layout>
                    <c:manualLayout>
                      <c:w val="0.168839550793856"/>
                      <c:h val="0.202123050259965"/>
                    </c:manualLayout>
                  </c15:layout>
                </c:ext>
              </c:extLst>
            </c:dLbl>
            <c:dLbl>
              <c:idx val="1"/>
              <c:delete val="1"/>
            </c:dLbl>
            <c:dLbl>
              <c:idx val="2"/>
              <c:delete val="1"/>
            </c:dLbl>
            <c:dLbl>
              <c:idx val="3"/>
              <c:delete val="1"/>
            </c:dLbl>
            <c:dLbl>
              <c:idx val="4"/>
              <c:delete val="1"/>
            </c:dLbl>
            <c:dLbl>
              <c:idx val="6"/>
              <c:delete val="1"/>
            </c:dLbl>
            <c:dLbl>
              <c:idx val="7"/>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{"一般公共预算财政拨款收入","政府性基金预算财政拨款收入","国有资本经营预算财政拨款收入","上级补助收入","事业收入","经营收入","附属单位上缴收","其他收入"}</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c:v>
                </c:pt>
                <c:pt idx="7">
                  <c:v>其他收入</c:v>
                </c:pt>
              </c:strCache>
            </c:strRef>
          </c:cat>
          <c:val>
            <c:numRef>
              <c:f>{127.74,0,0,0,0,#N/A,0,0}</c:f>
              <c:numCache>
                <c:formatCode>General</c:formatCode>
                <c:ptCount val="8"/>
                <c:pt idx="0">
                  <c:v>127.74</c:v>
                </c:pt>
                <c:pt idx="1">
                  <c:v>0</c:v>
                </c:pt>
                <c:pt idx="2">
                  <c:v>0</c:v>
                </c:pt>
                <c:pt idx="3">
                  <c:v>0</c:v>
                </c:pt>
                <c:pt idx="4">
                  <c:v>0</c:v>
                </c:pt>
                <c:pt idx="6">
                  <c:v>0</c:v>
                </c:pt>
                <c:pt idx="7">
                  <c:v>0</c:v>
                </c:pt>
              </c:numCache>
            </c:numRef>
          </c:val>
        </c:ser>
        <c:dLbls>
          <c:showLegendKey val="0"/>
          <c:showVal val="0"/>
          <c:showCatName val="0"/>
          <c:showSerName val="0"/>
          <c:showPercent val="0"/>
          <c:showBubbleSize val="0"/>
        </c:dLbls>
      </c:pie3DChart>
      <c:spPr>
        <a:noFill/>
        <a:ln>
          <a:noFill/>
        </a:ln>
        <a:effectLst/>
      </c:spPr>
    </c:plotArea>
    <c:legend>
      <c:legendPos val="t"/>
      <c:layout/>
      <c:overlay val="0"/>
      <c:spPr>
        <a:noFill/>
        <a:ln w="3175">
          <a:noFill/>
        </a:ln>
      </c:spPr>
      <c:txPr>
        <a:bodyPr rot="0" spcFirstLastPara="0" vertOverflow="ellipsis" vert="horz" wrap="square" anchor="ctr" anchorCtr="1"/>
        <a:lstStyle/>
        <a:p>
          <a:pPr>
            <a:defRPr lang="zh-CN" sz="825"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217734cb-b07d-4d8b-b279-62421d385c48}"/>
      </c:ext>
    </c:extLst>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333333"/>
                </a:solidFill>
                <a:latin typeface="宋体" panose="02010600030101010101" charset="-122"/>
                <a:ea typeface="宋体" panose="02010600030101010101" charset="-122"/>
                <a:cs typeface="宋体" panose="02010600030101010101" charset="-122"/>
              </a:defRPr>
            </a:pPr>
            <a:r>
              <a:rPr lang="zh-CN" altLang="en-US" sz="1400" b="0" i="0" u="none" strike="noStrike" baseline="0">
                <a:solidFill>
                  <a:srgbClr val="333333"/>
                </a:solidFill>
                <a:latin typeface="宋体" panose="02010600030101010101" charset="-122"/>
                <a:ea typeface="宋体" panose="02010600030101010101" charset="-122"/>
                <a:cs typeface="宋体" panose="02010600030101010101" charset="-122"/>
              </a:rPr>
              <a:t>支出决算结构图</a:t>
            </a:r>
            <a:endPar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title>
    <c:autoTitleDeleted val="0"/>
    <c:view3D>
      <c:rotX val="30"/>
      <c:rotY val="0"/>
      <c:depthPercent val="100"/>
      <c:rAngAx val="0"/>
      <c:perspective val="0"/>
    </c:view3D>
    <c:floor>
      <c:thickness val="0"/>
    </c:floor>
    <c:sideWall>
      <c:thickness val="0"/>
    </c:sideWall>
    <c:backWall>
      <c:thickness val="0"/>
    </c:backWall>
    <c:plotArea>
      <c:layout/>
      <c:pie3DChart>
        <c:varyColors val="1"/>
        <c:ser>
          <c:idx val="0"/>
          <c:order val="0"/>
          <c:tx>
            <c:strRef>
              <c:f>'[基础表（画图用）.xls]图3'!$A$2</c:f>
              <c:strCache>
                <c:ptCount val="1"/>
                <c:pt idx="0">
                  <c:v>省总成都工人疗养院2020年度支出结构示意图</c:v>
                </c:pt>
              </c:strCache>
            </c:strRef>
          </c:tx>
          <c:spPr>
            <a:ln>
              <a:noFill/>
            </a:ln>
            <a:scene3d>
              <a:camera prst="orthographicFront"/>
              <a:lightRig rig="threePt" dir="t"/>
            </a:scene3d>
            <a:sp3d contourW="25400"/>
          </c:spPr>
          <c:explosion val="0"/>
          <c:dPt>
            <c:idx val="0"/>
            <c:bubble3D val="0"/>
            <c:explosion val="0"/>
            <c:spPr>
              <a:solidFill>
                <a:schemeClr val="accent1"/>
              </a:solidFill>
              <a:ln w="25400">
                <a:noFill/>
              </a:ln>
              <a:effectLst/>
              <a:scene3d>
                <a:camera prst="orthographicFront"/>
                <a:lightRig rig="threePt" dir="t"/>
              </a:scene3d>
              <a:sp3d contourW="25400"/>
            </c:spPr>
          </c:dPt>
          <c:dPt>
            <c:idx val="1"/>
            <c:bubble3D val="0"/>
            <c:explosion val="0"/>
            <c:spPr>
              <a:solidFill>
                <a:schemeClr val="accent2"/>
              </a:solidFill>
              <a:ln w="25400">
                <a:noFill/>
              </a:ln>
              <a:effectLst/>
              <a:scene3d>
                <a:camera prst="orthographicFront"/>
                <a:lightRig rig="threePt" dir="t"/>
              </a:scene3d>
              <a:sp3d contourW="25400"/>
            </c:spPr>
          </c:dPt>
          <c:dPt>
            <c:idx val="2"/>
            <c:bubble3D val="0"/>
            <c:explosion val="0"/>
            <c:spPr>
              <a:solidFill>
                <a:schemeClr val="accent3"/>
              </a:solidFill>
              <a:ln w="25400">
                <a:noFill/>
              </a:ln>
              <a:effectLst/>
              <a:scene3d>
                <a:camera prst="orthographicFront"/>
                <a:lightRig rig="threePt" dir="t"/>
              </a:scene3d>
              <a:sp3d contourW="25400"/>
            </c:spPr>
          </c:dPt>
          <c:dPt>
            <c:idx val="3"/>
            <c:bubble3D val="0"/>
            <c:explosion val="0"/>
            <c:spPr>
              <a:solidFill>
                <a:schemeClr val="accent4"/>
              </a:solidFill>
              <a:ln w="25400">
                <a:noFill/>
              </a:ln>
              <a:effectLst/>
              <a:scene3d>
                <a:camera prst="orthographicFront"/>
                <a:lightRig rig="threePt" dir="t"/>
              </a:scene3d>
              <a:sp3d contourW="25400"/>
            </c:spPr>
          </c:dPt>
          <c:dLbls>
            <c:dLbl>
              <c:idx val="0"/>
              <c:layout>
                <c:manualLayout>
                  <c:x val="-0.00213907839076865"/>
                  <c:y val="-0.209656635196009"/>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rgbClr val="333333">
                            <a:alpha val="100000"/>
                          </a:srgbClr>
                        </a:solidFill>
                        <a:latin typeface="Calibri" panose="020F0502020204030204" charset="-122"/>
                        <a:ea typeface="Calibri" panose="020F0502020204030204" charset="-122"/>
                        <a:cs typeface="Calibri" panose="020F0502020204030204" charset="-122"/>
                      </a:defRPr>
                    </a:pPr>
                    <a:r>
                      <a:rPr lang="en-US" altLang="zh-CN" sz="1000">
                        <a:latin typeface="宋体" panose="02010600030101010101" charset="-122"/>
                        <a:ea typeface="宋体" panose="02010600030101010101" charset="-122"/>
                        <a:cs typeface="宋体" panose="02010600030101010101" charset="-122"/>
                      </a:rPr>
                      <a:t>262.28</a:t>
                    </a:r>
                    <a:r>
                      <a:rPr altLang="en-US" sz="1000">
                        <a:latin typeface="宋体" panose="02010600030101010101" charset="-122"/>
                        <a:ea typeface="宋体" panose="02010600030101010101" charset="-122"/>
                        <a:cs typeface="宋体" panose="02010600030101010101" charset="-122"/>
                      </a:rPr>
                      <a:t>万元</a:t>
                    </a:r>
                    <a:r>
                      <a:rPr lang="en-US" altLang="zh-CN">
                        <a:ea typeface="宋体" panose="02010600030101010101" charset="-122"/>
                      </a:rPr>
                      <a:t> </a:t>
                    </a:r>
                  </a:p>
                  <a:p>
                    <a:pPr defTabSz="914400">
                      <a:defRPr lang="zh-CN" sz="900" b="0" i="0" u="none" strike="noStrike" kern="1200" baseline="0">
                        <a:solidFill>
                          <a:srgbClr val="333333">
                            <a:alpha val="100000"/>
                          </a:srgbClr>
                        </a:solidFill>
                        <a:latin typeface="Calibri" panose="020F0502020204030204" charset="-122"/>
                        <a:ea typeface="Calibri" panose="020F0502020204030204" charset="-122"/>
                        <a:cs typeface="Calibri" panose="020F0502020204030204" charset="-122"/>
                      </a:defRPr>
                    </a:pPr>
                    <a:r>
                      <a:rPr lang="en-US" altLang="zh-CN" sz="900" b="0" i="0" u="none" strike="noStrike" baseline="0">
                        <a:solidFill>
                          <a:srgbClr val="333333">
                            <a:alpha val="100000"/>
                          </a:srgbClr>
                        </a:solidFill>
                        <a:latin typeface="Calibri" panose="020F0502020204030204" charset="-122"/>
                        <a:ea typeface="Calibri" panose="020F0502020204030204" charset="-122"/>
                        <a:cs typeface="Calibri" panose="020F0502020204030204" charset="-122"/>
                      </a:rPr>
                      <a:t>100%</a:t>
                    </a:r>
                    <a:endParaRPr lang="en-US" altLang="zh-CN" sz="900" b="0" i="0" u="none" strike="noStrike" baseline="0">
                      <a:solidFill>
                        <a:srgbClr val="333333">
                          <a:alpha val="100000"/>
                        </a:srgbClr>
                      </a:solidFill>
                      <a:latin typeface="Calibri" panose="020F0502020204030204" charset="-122"/>
                      <a:ea typeface="Calibri" panose="020F0502020204030204" charset="-122"/>
                      <a:cs typeface="Calibri" panose="020F0502020204030204" charset="-122"/>
                    </a:endParaRPr>
                  </a:p>
                </c:rich>
              </c:tx>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Calibri" panose="020F0502020204030204" charset="-122"/>
                      <a:ea typeface="Calibri" panose="020F0502020204030204" charset="-122"/>
                      <a:cs typeface="Calibri" panose="020F0502020204030204" charset="-122"/>
                    </a:defRPr>
                  </a:pPr>
                </a:p>
              </c:txPr>
              <c:dLblPos val="bestFit"/>
              <c:showLegendKey val="0"/>
              <c:showVal val="0"/>
              <c:showCatName val="1"/>
              <c:showSerName val="0"/>
              <c:showPercent val="0"/>
              <c:showBubbleSize val="0"/>
              <c:extLst>
                <c:ext xmlns:c15="http://schemas.microsoft.com/office/drawing/2012/chart" uri="{CE6537A1-D6FC-4f65-9D91-7224C49458BB}">
                  <c15:layout>
                    <c:manualLayout>
                      <c:w val="0.37450357426529"/>
                      <c:h val="0.224562293834052"/>
                    </c:manualLayout>
                  </c15:layout>
                </c:ext>
              </c:extLst>
            </c:dLbl>
            <c:dLbl>
              <c:idx val="1"/>
              <c:delete val="1"/>
            </c:dLbl>
            <c:dLbl>
              <c:idx val="2"/>
              <c:delete val="1"/>
            </c:dLbl>
            <c:dLbl>
              <c:idx val="3"/>
              <c:delete val="1"/>
            </c:dLbl>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'[基础表（画图用）.xls]图3'!$B$1:$E$1</c:f>
              <c:strCache>
                <c:ptCount val="4"/>
                <c:pt idx="0">
                  <c:v>基本支出</c:v>
                </c:pt>
                <c:pt idx="1">
                  <c:v>项目支出</c:v>
                </c:pt>
                <c:pt idx="2">
                  <c:v>上缴上级支出</c:v>
                </c:pt>
                <c:pt idx="3">
                  <c:v>经营支出</c:v>
                </c:pt>
              </c:strCache>
            </c:strRef>
          </c:cat>
          <c:val>
            <c:numRef>
              <c:f>'[基础表（画图用）.xls]图3'!$B$2:$E$2</c:f>
              <c:numCache>
                <c:formatCode>General</c:formatCode>
                <c:ptCount val="4"/>
                <c:pt idx="0">
                  <c:v>146.9</c:v>
                </c:pt>
                <c:pt idx="1">
                  <c:v>0</c:v>
                </c:pt>
                <c:pt idx="2">
                  <c:v>0</c:v>
                </c:pt>
                <c:pt idx="3">
                  <c:v>0</c:v>
                </c:pt>
              </c:numCache>
            </c:numRef>
          </c:val>
        </c:ser>
        <c:dLbls>
          <c:showLegendKey val="0"/>
          <c:showVal val="0"/>
          <c:showCatName val="0"/>
          <c:showSerName val="0"/>
          <c:showPercent val="0"/>
          <c:showBubbleSize val="0"/>
        </c:dLbls>
      </c:pie3DChart>
      <c:spPr>
        <a:noFill/>
        <a:ln w="3175">
          <a:noFill/>
        </a:ln>
      </c:spPr>
    </c:plotArea>
    <c:legend>
      <c:legendPos val="t"/>
      <c:layout/>
      <c:overlay val="0"/>
      <c:spPr>
        <a:noFill/>
        <a:ln w="3175">
          <a:noFill/>
        </a:ln>
      </c:spPr>
      <c:txPr>
        <a:bodyPr rot="0" spcFirstLastPara="0" vertOverflow="ellipsis" vert="horz" wrap="square" anchor="ctr" anchorCtr="1"/>
        <a:lstStyle/>
        <a:p>
          <a:pPr>
            <a:defRPr lang="zh-CN" sz="825"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ad518c02-1172-4ae9-8485-d222c25fe184}"/>
      </c:ext>
    </c:extLst>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333333"/>
                </a:solidFill>
                <a:latin typeface="宋体" panose="02010600030101010101" charset="-122"/>
                <a:ea typeface="宋体" panose="02010600030101010101" charset="-122"/>
                <a:cs typeface="宋体" panose="02010600030101010101" charset="-122"/>
              </a:defRPr>
            </a:pPr>
            <a:r>
              <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rPr>
              <a:t>财政拨款收、支决算总计变动情况</a:t>
            </a:r>
            <a:endPar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270112262632187"/>
          <c:y val="0.0107030953909269"/>
        </c:manualLayout>
      </c:layout>
      <c:overlay val="0"/>
    </c:title>
    <c:autoTitleDeleted val="0"/>
    <c:plotArea>
      <c:layout>
        <c:manualLayout>
          <c:layoutTarget val="inner"/>
          <c:xMode val="edge"/>
          <c:yMode val="edge"/>
          <c:x val="0.0604439828638193"/>
          <c:y val="0.123027817267951"/>
          <c:w val="0.921102641745849"/>
          <c:h val="0.786794831389852"/>
        </c:manualLayout>
      </c:layout>
      <c:barChart>
        <c:barDir val="col"/>
        <c:grouping val="clustered"/>
        <c:varyColors val="0"/>
        <c:ser>
          <c:idx val="0"/>
          <c:order val="0"/>
          <c:tx>
            <c:strRef>
              <c:f>'[基础表（画图用）.xls]图1、图4 、图5'!$B$1</c:f>
              <c:strCache>
                <c:ptCount val="1"/>
                <c:pt idx="0">
                  <c:v>2024年度收、支决算总计变动情况</c:v>
                </c:pt>
              </c:strCache>
            </c:strRef>
          </c:tx>
          <c:spPr>
            <a:solidFill>
              <a:srgbClr val="5B9BD5">
                <a:alpha val="100000"/>
              </a:srgbClr>
            </a:solidFill>
            <a:ln w="3175">
              <a:noFill/>
            </a:ln>
          </c:spPr>
          <c:invertIfNegative val="0"/>
          <c:dPt>
            <c:idx val="1"/>
            <c:invertIfNegative val="0"/>
            <c:bubble3D val="0"/>
            <c:explosion val="0"/>
            <c:spPr>
              <a:solidFill>
                <a:srgbClr val="C00000">
                  <a:alpha val="100000"/>
                </a:srgbClr>
              </a:solidFill>
              <a:ln w="3175">
                <a:noFill/>
              </a:ln>
            </c:spPr>
          </c:dPt>
          <c:dPt>
            <c:idx val="2"/>
            <c:invertIfNegative val="0"/>
            <c:bubble3D val="0"/>
            <c:explosion val="0"/>
            <c:spPr>
              <a:solidFill>
                <a:srgbClr val="ED7D31">
                  <a:alpha val="100000"/>
                </a:srgbClr>
              </a:solidFill>
              <a:ln w="3175">
                <a:noFill/>
              </a:ln>
            </c:spPr>
          </c:dPt>
          <c:dPt>
            <c:idx val="3"/>
            <c:invertIfNegative val="0"/>
            <c:bubble3D val="0"/>
            <c:explosion val="0"/>
            <c:spPr>
              <a:solidFill>
                <a:srgbClr val="7030A0">
                  <a:alpha val="100000"/>
                </a:srgbClr>
              </a:solidFill>
              <a:ln w="3175">
                <a:noFill/>
              </a:ln>
            </c:spPr>
          </c:dPt>
          <c:dLbls>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'[基础表（画图用）.xls]图1、图4 、图5'!$A$2:$A$5</c:f>
              <c:strCache>
                <c:ptCount val="4"/>
                <c:pt idx="0">
                  <c:v>本年收支决算总计（万元）</c:v>
                </c:pt>
                <c:pt idx="1">
                  <c:v>上年收支决算总计（万元）</c:v>
                </c:pt>
                <c:pt idx="2">
                  <c:v>较上年增加（万元）</c:v>
                </c:pt>
                <c:pt idx="3">
                  <c:v>较上年变动（%）</c:v>
                </c:pt>
              </c:strCache>
            </c:strRef>
          </c:cat>
          <c:val>
            <c:numRef>
              <c:f>'[基础表（画图用）.xls]图1、图4 、图5'!$B$2:$B$5</c:f>
              <c:numCache>
                <c:formatCode>General</c:formatCode>
                <c:ptCount val="4"/>
                <c:pt idx="0">
                  <c:v>262.28</c:v>
                </c:pt>
                <c:pt idx="1">
                  <c:v>146.9</c:v>
                </c:pt>
                <c:pt idx="2">
                  <c:v>115.38</c:v>
                </c:pt>
                <c:pt idx="3" c:formatCode="0.0%">
                  <c:v>0.785432266848196</c:v>
                </c:pt>
              </c:numCache>
            </c:numRef>
          </c:val>
        </c:ser>
        <c:dLbls>
          <c:showLegendKey val="0"/>
          <c:showVal val="0"/>
          <c:showCatName val="0"/>
          <c:showSerName val="0"/>
          <c:showPercent val="0"/>
          <c:showBubbleSize val="0"/>
        </c:dLbls>
        <c:gapWidth val="75"/>
        <c:overlap val="0"/>
        <c:axId val="656756906"/>
        <c:axId val="791966844"/>
      </c:barChart>
      <c:catAx>
        <c:axId val="656756906"/>
        <c:scaling>
          <c:orientation val="minMax"/>
        </c:scaling>
        <c:delete val="1"/>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791966844"/>
        <c:crosses val="autoZero"/>
        <c:auto val="1"/>
        <c:lblAlgn val="ctr"/>
        <c:lblOffset val="100"/>
        <c:noMultiLvlLbl val="0"/>
      </c:catAx>
      <c:valAx>
        <c:axId val="79196684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656756906"/>
        <c:crosses val="autoZero"/>
        <c:crossBetween val="between"/>
      </c:valAx>
      <c:spPr>
        <a:noFill/>
        <a:ln w="3175">
          <a:noFill/>
        </a:ln>
      </c:spPr>
    </c:plotArea>
    <c:legend>
      <c:legendPos val="b"/>
      <c:layout>
        <c:manualLayout>
          <c:xMode val="edge"/>
          <c:yMode val="edge"/>
          <c:x val="0.0339354703978281"/>
          <c:y val="0.914615515192667"/>
          <c:w val="0.962932024642372"/>
          <c:h val="0.0614496689865897"/>
        </c:manualLayout>
      </c:layout>
      <c:overlay val="0"/>
      <c:spPr>
        <a:noFill/>
        <a:ln w="3175">
          <a:noFill/>
        </a:ln>
      </c:spPr>
      <c:txPr>
        <a:bodyPr rot="0" spcFirstLastPara="0" vertOverflow="ellipsis" vert="horz" wrap="square" anchor="ctr" anchorCtr="1"/>
        <a:lstStyle/>
        <a:p>
          <a:pPr>
            <a:defRPr lang="zh-CN" sz="825"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23e1ca54-63f1-4430-a8d4-3a7e41a92a07}"/>
      </c:ext>
    </c:extLst>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333333"/>
                </a:solidFill>
                <a:latin typeface="宋体" panose="02010600030101010101" charset="-122"/>
                <a:ea typeface="宋体" panose="02010600030101010101" charset="-122"/>
                <a:cs typeface="宋体" panose="02010600030101010101" charset="-122"/>
              </a:defRPr>
            </a:pPr>
            <a:r>
              <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rPr>
              <a:t>一般公共预算财政拨款支出决算变动情况</a:t>
            </a:r>
            <a:endPar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253199749916012"/>
          <c:y val="0.0344937377382703"/>
        </c:manualLayout>
      </c:layout>
      <c:overlay val="0"/>
    </c:title>
    <c:autoTitleDeleted val="0"/>
    <c:plotArea>
      <c:layout>
        <c:manualLayout>
          <c:layoutTarget val="inner"/>
          <c:xMode val="edge"/>
          <c:yMode val="edge"/>
          <c:x val="0.0604439828638193"/>
          <c:y val="0.123027817267951"/>
          <c:w val="0.921102641745849"/>
          <c:h val="0.786794831389852"/>
        </c:manualLayout>
      </c:layout>
      <c:barChart>
        <c:barDir val="col"/>
        <c:grouping val="clustered"/>
        <c:varyColors val="0"/>
        <c:ser>
          <c:idx val="0"/>
          <c:order val="0"/>
          <c:tx>
            <c:strRef>
              <c:f>'[基础表（画图用）.xls]图1、图4 、图5'!$B$1</c:f>
              <c:strCache>
                <c:ptCount val="1"/>
                <c:pt idx="0">
                  <c:v>2024年度收、支决算总计变动情况</c:v>
                </c:pt>
              </c:strCache>
            </c:strRef>
          </c:tx>
          <c:spPr>
            <a:solidFill>
              <a:srgbClr val="5B9BD5">
                <a:alpha val="100000"/>
              </a:srgbClr>
            </a:solidFill>
            <a:ln w="3175">
              <a:noFill/>
            </a:ln>
          </c:spPr>
          <c:invertIfNegative val="0"/>
          <c:dPt>
            <c:idx val="1"/>
            <c:invertIfNegative val="0"/>
            <c:bubble3D val="0"/>
            <c:explosion val="0"/>
            <c:spPr>
              <a:solidFill>
                <a:srgbClr val="C00000">
                  <a:alpha val="100000"/>
                </a:srgbClr>
              </a:solidFill>
              <a:ln w="3175">
                <a:noFill/>
              </a:ln>
            </c:spPr>
          </c:dPt>
          <c:dPt>
            <c:idx val="2"/>
            <c:invertIfNegative val="0"/>
            <c:bubble3D val="0"/>
            <c:explosion val="0"/>
            <c:spPr>
              <a:solidFill>
                <a:srgbClr val="ED7D31">
                  <a:alpha val="100000"/>
                </a:srgbClr>
              </a:solidFill>
              <a:ln w="3175">
                <a:noFill/>
              </a:ln>
            </c:spPr>
          </c:dPt>
          <c:dPt>
            <c:idx val="3"/>
            <c:invertIfNegative val="0"/>
            <c:bubble3D val="0"/>
            <c:explosion val="0"/>
            <c:spPr>
              <a:solidFill>
                <a:srgbClr val="7030A0">
                  <a:alpha val="100000"/>
                </a:srgbClr>
              </a:solidFill>
              <a:ln w="3175">
                <a:noFill/>
              </a:ln>
            </c:spPr>
          </c:dPt>
          <c:dLbls>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'[基础表（画图用）.xls]图1、图4 、图5'!$A$2:$A$5</c:f>
              <c:strCache>
                <c:ptCount val="4"/>
                <c:pt idx="0">
                  <c:v>本年收支决算总计（万元）</c:v>
                </c:pt>
                <c:pt idx="1">
                  <c:v>上年收支决算总计（万元）</c:v>
                </c:pt>
                <c:pt idx="2">
                  <c:v>较上年增加（万元）</c:v>
                </c:pt>
                <c:pt idx="3">
                  <c:v>较上年变动（%）</c:v>
                </c:pt>
              </c:strCache>
            </c:strRef>
          </c:cat>
          <c:val>
            <c:numRef>
              <c:f>'[基础表（画图用）.xls]图1、图4 、图5'!$B$2:$B$5</c:f>
              <c:numCache>
                <c:formatCode>General</c:formatCode>
                <c:ptCount val="4"/>
                <c:pt idx="0">
                  <c:v>262.28</c:v>
                </c:pt>
                <c:pt idx="1">
                  <c:v>146.9</c:v>
                </c:pt>
                <c:pt idx="2">
                  <c:v>115.38</c:v>
                </c:pt>
                <c:pt idx="3" c:formatCode="0.0%">
                  <c:v>0.785432266848196</c:v>
                </c:pt>
              </c:numCache>
            </c:numRef>
          </c:val>
        </c:ser>
        <c:dLbls>
          <c:showLegendKey val="0"/>
          <c:showVal val="0"/>
          <c:showCatName val="0"/>
          <c:showSerName val="0"/>
          <c:showPercent val="0"/>
          <c:showBubbleSize val="0"/>
        </c:dLbls>
        <c:gapWidth val="75"/>
        <c:overlap val="0"/>
        <c:axId val="656756906"/>
        <c:axId val="791966844"/>
      </c:barChart>
      <c:catAx>
        <c:axId val="656756906"/>
        <c:scaling>
          <c:orientation val="minMax"/>
        </c:scaling>
        <c:delete val="1"/>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791966844"/>
        <c:crosses val="autoZero"/>
        <c:auto val="1"/>
        <c:lblAlgn val="ctr"/>
        <c:lblOffset val="100"/>
        <c:noMultiLvlLbl val="0"/>
      </c:catAx>
      <c:valAx>
        <c:axId val="79196684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656756906"/>
        <c:crosses val="autoZero"/>
        <c:crossBetween val="between"/>
      </c:valAx>
      <c:spPr>
        <a:noFill/>
        <a:ln w="3175">
          <a:noFill/>
        </a:ln>
      </c:spPr>
    </c:plotArea>
    <c:legend>
      <c:legendPos val="b"/>
      <c:layout>
        <c:manualLayout>
          <c:xMode val="edge"/>
          <c:yMode val="edge"/>
          <c:x val="0.0339354703978281"/>
          <c:y val="0.914615515192667"/>
          <c:w val="0.962932024642372"/>
          <c:h val="0.0614496689865897"/>
        </c:manualLayout>
      </c:layout>
      <c:overlay val="0"/>
      <c:spPr>
        <a:noFill/>
        <a:ln w="3175">
          <a:noFill/>
        </a:ln>
      </c:spPr>
      <c:txPr>
        <a:bodyPr rot="0" spcFirstLastPara="0" vertOverflow="ellipsis" vert="horz" wrap="square" anchor="ctr" anchorCtr="1"/>
        <a:lstStyle/>
        <a:p>
          <a:pPr>
            <a:defRPr lang="zh-CN" sz="825"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23e1ca54-63f1-4430-a8d4-3a7e41a92a07}"/>
      </c:ext>
    </c:extLst>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一般公共预算财政拨款支出决算结构</a:t>
            </a:r>
          </a:p>
          <a:p>
            <a:pPr defTabSz="914400">
              <a:defRPr lang="zh-CN" sz="14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rich>
      </c:tx>
      <c:layout>
        <c:manualLayout>
          <c:xMode val="edge"/>
          <c:yMode val="edge"/>
          <c:x val="0.190831556503198"/>
          <c:y val="0.0217312567910177"/>
        </c:manualLayout>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303331675783192"/>
          <c:y val="0.250199840127898"/>
          <c:w val="0.945300845350572"/>
          <c:h val="0.710631494804157"/>
        </c:manualLayout>
      </c:layout>
      <c:pie3DChart>
        <c:varyColors val="1"/>
        <c:ser>
          <c:idx val="0"/>
          <c:order val="0"/>
          <c:tx>
            <c:strRef>
              <c:f>'[基础表（画图用）.xls]Sheet3'!$A$2</c:f>
              <c:strCache>
                <c:ptCount val="1"/>
                <c:pt idx="0">
                  <c:v>省总成都工人疗养院2020年度一般公共预算财政拨款支出决算结构</c:v>
                </c:pt>
              </c:strCache>
            </c:strRef>
          </c:tx>
          <c:spPr>
            <a:scene3d>
              <a:camera prst="orthographicFront"/>
              <a:lightRig rig="threePt" dir="t"/>
            </a:scene3d>
            <a:sp3d contourW="9525"/>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scene3d>
                <a:camera prst="orthographicFront"/>
                <a:lightRig rig="threePt" dir="t"/>
              </a:scene3d>
              <a:sp3d contourW="9525"/>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scene3d>
                <a:camera prst="orthographicFront"/>
                <a:lightRig rig="threePt" dir="t"/>
              </a:scene3d>
              <a:sp3d contourW="9525"/>
            </c:spPr>
          </c:dPt>
          <c:dPt>
            <c:idx val="2"/>
            <c:bubble3D val="0"/>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a:scene3d>
                <a:camera prst="orthographicFront"/>
                <a:lightRig rig="threePt" dir="t"/>
              </a:scene3d>
              <a:sp3d contourW="9525"/>
            </c:spPr>
          </c:dPt>
          <c:dPt>
            <c:idx val="3"/>
            <c:bubble3D val="0"/>
            <c:spPr>
              <a:gradFill>
                <a:gsLst>
                  <a:gs pos="0">
                    <a:schemeClr val="accent4">
                      <a:lumMod val="40000"/>
                      <a:lumOff val="60000"/>
                    </a:schemeClr>
                  </a:gs>
                  <a:gs pos="90000">
                    <a:schemeClr val="accent4"/>
                  </a:gs>
                </a:gsLst>
                <a:lin ang="5400000" scaled="0"/>
              </a:gradFill>
              <a:ln>
                <a:gradFill>
                  <a:gsLst>
                    <a:gs pos="0">
                      <a:schemeClr val="accent4"/>
                    </a:gs>
                    <a:gs pos="100000">
                      <a:schemeClr val="accent4">
                        <a:lumMod val="75000"/>
                      </a:schemeClr>
                    </a:gs>
                  </a:gsLst>
                  <a:lin ang="5400000" scaled="1"/>
                </a:gradFill>
              </a:ln>
              <a:effectLst/>
              <a:scene3d>
                <a:camera prst="orthographicFront"/>
                <a:lightRig rig="threePt" dir="t"/>
              </a:scene3d>
              <a:sp3d contourW="9525"/>
            </c:spPr>
          </c:dPt>
          <c:dPt>
            <c:idx val="4"/>
            <c:bubble3D val="0"/>
            <c:spPr>
              <a:gradFill>
                <a:gsLst>
                  <a:gs pos="0">
                    <a:schemeClr val="accent5">
                      <a:lumMod val="40000"/>
                      <a:lumOff val="60000"/>
                    </a:schemeClr>
                  </a:gs>
                  <a:gs pos="90000">
                    <a:schemeClr val="accent5"/>
                  </a:gs>
                </a:gsLst>
                <a:lin ang="5400000" scaled="0"/>
              </a:gradFill>
              <a:ln>
                <a:gradFill>
                  <a:gsLst>
                    <a:gs pos="0">
                      <a:schemeClr val="accent5"/>
                    </a:gs>
                    <a:gs pos="100000">
                      <a:schemeClr val="accent5">
                        <a:lumMod val="75000"/>
                      </a:schemeClr>
                    </a:gs>
                  </a:gsLst>
                  <a:lin ang="5400000" scaled="1"/>
                </a:gradFill>
              </a:ln>
              <a:effectLst/>
              <a:scene3d>
                <a:camera prst="orthographicFront"/>
                <a:lightRig rig="threePt" dir="t"/>
              </a:scene3d>
              <a:sp3d contourW="9525"/>
            </c:spPr>
          </c:dPt>
          <c:dPt>
            <c:idx val="5"/>
            <c:bubble3D val="0"/>
            <c:spPr>
              <a:gradFill>
                <a:gsLst>
                  <a:gs pos="0">
                    <a:schemeClr val="accent6">
                      <a:lumMod val="40000"/>
                      <a:lumOff val="60000"/>
                    </a:schemeClr>
                  </a:gs>
                  <a:gs pos="90000">
                    <a:schemeClr val="accent6"/>
                  </a:gs>
                </a:gsLst>
                <a:lin ang="5400000" scaled="0"/>
              </a:gradFill>
              <a:ln>
                <a:gradFill>
                  <a:gsLst>
                    <a:gs pos="0">
                      <a:schemeClr val="accent6"/>
                    </a:gs>
                    <a:gs pos="100000">
                      <a:schemeClr val="accent6">
                        <a:lumMod val="75000"/>
                      </a:schemeClr>
                    </a:gs>
                  </a:gsLst>
                  <a:lin ang="5400000" scaled="1"/>
                </a:gradFill>
              </a:ln>
              <a:effectLst/>
              <a:scene3d>
                <a:camera prst="orthographicFront"/>
                <a:lightRig rig="threePt" dir="t"/>
              </a:scene3d>
              <a:sp3d contourW="9525"/>
            </c:spPr>
          </c:dPt>
          <c:dPt>
            <c:idx val="6"/>
            <c:bubble3D val="0"/>
            <c:spPr>
              <a:gradFill>
                <a:gsLst>
                  <a:gs pos="0">
                    <a:schemeClr val="accent1">
                      <a:lumMod val="60000"/>
                      <a:lumMod val="40000"/>
                      <a:lumOff val="60000"/>
                    </a:schemeClr>
                  </a:gs>
                  <a:gs pos="90000">
                    <a:schemeClr val="accent1">
                      <a:lumMod val="60000"/>
                    </a:schemeClr>
                  </a:gs>
                </a:gsLst>
                <a:lin ang="5400000" scaled="0"/>
              </a:gradFill>
              <a:ln>
                <a:gradFill>
                  <a:gsLst>
                    <a:gs pos="0">
                      <a:schemeClr val="accent1">
                        <a:lumMod val="60000"/>
                      </a:schemeClr>
                    </a:gs>
                    <a:gs pos="100000">
                      <a:schemeClr val="accent1">
                        <a:lumMod val="60000"/>
                        <a:lumMod val="75000"/>
                      </a:schemeClr>
                    </a:gs>
                  </a:gsLst>
                  <a:lin ang="5400000" scaled="1"/>
                </a:gradFill>
              </a:ln>
              <a:effectLst/>
              <a:scene3d>
                <a:camera prst="orthographicFront"/>
                <a:lightRig rig="threePt" dir="t"/>
              </a:scene3d>
              <a:sp3d contourW="9525"/>
            </c:spPr>
          </c:dPt>
          <c:dLbls>
            <c:dLbl>
              <c:idx val="0"/>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1"/>
              <c:showSerName val="0"/>
              <c:showPercent val="0"/>
              <c:showBubbleSize val="0"/>
              <c:separator>
</c:separator>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1"/>
              <c:showSerName val="0"/>
              <c:showPercent val="0"/>
              <c:showBubbleSize val="0"/>
              <c:separator>
</c:separator>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1"/>
              <c:showSerName val="0"/>
              <c:showPercent val="0"/>
              <c:showBubbleSize val="0"/>
              <c:separator>
</c:separator>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1"/>
              <c:showSerName val="0"/>
              <c:showPercent val="0"/>
              <c:showBubbleSize val="0"/>
              <c:separator>
</c:separator>
              <c:extLst>
                <c:ext xmlns:c15="http://schemas.microsoft.com/office/drawing/2012/chart" uri="{CE6537A1-D6FC-4f65-9D91-7224C49458BB}"/>
              </c:extLst>
            </c:dLbl>
            <c:dLbl>
              <c:idx val="4"/>
              <c:layout>
                <c:manualLayout>
                  <c:x val="-0.232491162693326"/>
                  <c:y val="-0.218741289965946"/>
                </c:manualLayout>
              </c:layout>
              <c:tx>
                <c:rich>
                  <a:bodyPr rot="0" spcFirstLastPara="0" vertOverflow="ellipsis" vert="horz" wrap="square" lIns="38100" tIns="19050" rIns="38100" bIns="19050" anchor="ctr" anchorCtr="1" forceAA="0"/>
                  <a:lstStyle/>
                  <a:p>
                    <a:pPr defTabSz="914400">
                      <a:defRPr lang="zh-CN" sz="10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190.49万元</a:t>
                    </a:r>
                  </a:p>
                  <a:p>
                    <a:pPr defTabSz="914400">
                      <a:defRPr lang="zh-CN" sz="10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en-US" altLang="zh-CN"/>
                      <a:t>72.6%</a:t>
                    </a:r>
                    <a:endParaRPr lang="en-US" altLang="zh-CN"/>
                  </a:p>
                </c:rich>
              </c:tx>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90624563364538"/>
                      <c:h val="0.266666666666667"/>
                    </c:manualLayout>
                  </c15:layout>
                </c:ext>
              </c:extLst>
            </c:dLbl>
            <c:dLbl>
              <c:idx val="5"/>
              <c:layout>
                <c:manualLayout>
                  <c:x val="0.171773381814007"/>
                  <c:y val="0.0235570578451175"/>
                </c:manualLayout>
              </c:layout>
              <c:tx>
                <c:rich>
                  <a:bodyPr rot="0" spcFirstLastPara="0" vertOverflow="ellipsis" vert="horz" wrap="square" lIns="38100" tIns="19050" rIns="38100" bIns="19050" anchor="ctr" anchorCtr="1" forceAA="0"/>
                  <a:lstStyle/>
                  <a:p>
                    <a:pPr defTabSz="914400">
                      <a:defRPr lang="zh-CN" sz="10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30.14万元</a:t>
                    </a:r>
                  </a:p>
                  <a:p>
                    <a:pPr defTabSz="914400">
                      <a:defRPr lang="zh-CN" sz="10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en-US" altLang="zh-CN"/>
                      <a:t>11.5%</a:t>
                    </a:r>
                    <a:endParaRPr lang="en-US" altLang="zh-CN"/>
                  </a:p>
                </c:rich>
              </c:tx>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150546991546494"/>
                      <c:h val="0.237010391686651"/>
                    </c:manualLayout>
                  </c15:layout>
                </c:ext>
              </c:extLst>
            </c:dLbl>
            <c:dLbl>
              <c:idx val="6"/>
              <c:layout>
                <c:manualLayout>
                  <c:x val="0.128896332972915"/>
                  <c:y val="0.13712960141079"/>
                </c:manualLayout>
              </c:layout>
              <c:tx>
                <c:rich>
                  <a:bodyPr rot="0" spcFirstLastPara="0" vertOverflow="ellipsis" vert="horz" wrap="square" lIns="38100" tIns="19050" rIns="38100" bIns="19050" anchor="ctr" anchorCtr="1"/>
                  <a:lstStyle/>
                  <a:p>
                    <a:pPr defTabSz="914400">
                      <a:defRPr lang="zh-CN" sz="10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41.65万元</a:t>
                    </a:r>
                  </a:p>
                  <a:p>
                    <a:pPr defTabSz="914400">
                      <a:defRPr lang="zh-CN" sz="10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en-US" altLang="zh-CN"/>
                      <a:t>15.9%</a:t>
                    </a: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157011437095972"/>
                      <c:h val="0.211430855315747"/>
                    </c:manualLayout>
                  </c15:layout>
                </c:ext>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'[基础表（画图用）.xls]Sheet3'!$B$1:$H$1</c:f>
              <c:strCache>
                <c:ptCount val="7"/>
                <c:pt idx="0">
                  <c:v>一般公共服务支出</c:v>
                </c:pt>
                <c:pt idx="1">
                  <c:v>教育支出</c:v>
                </c:pt>
                <c:pt idx="2">
                  <c:v>科学技术支出</c:v>
                </c:pt>
                <c:pt idx="3">
                  <c:v>文化旅游体育与传媒支出</c:v>
                </c:pt>
                <c:pt idx="4">
                  <c:v>社会保障和就业支出</c:v>
                </c:pt>
                <c:pt idx="5">
                  <c:v>卫生健康支出</c:v>
                </c:pt>
                <c:pt idx="6">
                  <c:v>住房保障支出</c:v>
                </c:pt>
              </c:strCache>
            </c:strRef>
          </c:cat>
          <c:val>
            <c:numRef>
              <c:f>'[基础表（画图用）.xls]Sheet3'!$B$2:$H$2</c:f>
              <c:numCache>
                <c:formatCode>General</c:formatCode>
                <c:ptCount val="7"/>
                <c:pt idx="4">
                  <c:v>190.49</c:v>
                </c:pt>
                <c:pt idx="5">
                  <c:v>30.14</c:v>
                </c:pt>
                <c:pt idx="6">
                  <c:v>41.65</c:v>
                </c:pt>
              </c:numCache>
            </c:numRef>
          </c:val>
        </c:ser>
        <c:ser>
          <c:idx val="1"/>
          <c:order val="1"/>
          <c:tx>
            <c:strRef>
              <c:f>'[基础表（画图用）.xls]Sheet3'!$A$3</c:f>
              <c:strCache>
                <c:ptCount val="1"/>
                <c:pt idx="0">
                  <c:v>占总收入比例（%）</c:v>
                </c:pt>
              </c:strCache>
            </c:strRef>
          </c:tx>
          <c:spPr>
            <a:scene3d>
              <a:camera prst="orthographicFront"/>
              <a:lightRig rig="threePt" dir="t"/>
            </a:scene3d>
            <a:sp3d contourW="9525"/>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scene3d>
                <a:camera prst="orthographicFront"/>
                <a:lightRig rig="threePt" dir="t"/>
              </a:scene3d>
              <a:sp3d contourW="9525"/>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scene3d>
                <a:camera prst="orthographicFront"/>
                <a:lightRig rig="threePt" dir="t"/>
              </a:scene3d>
              <a:sp3d contourW="9525"/>
            </c:spPr>
          </c:dPt>
          <c:dPt>
            <c:idx val="2"/>
            <c:bubble3D val="0"/>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a:scene3d>
                <a:camera prst="orthographicFront"/>
                <a:lightRig rig="threePt" dir="t"/>
              </a:scene3d>
              <a:sp3d contourW="9525"/>
            </c:spPr>
          </c:dPt>
          <c:dPt>
            <c:idx val="3"/>
            <c:bubble3D val="0"/>
            <c:spPr>
              <a:gradFill>
                <a:gsLst>
                  <a:gs pos="0">
                    <a:schemeClr val="accent4">
                      <a:lumMod val="40000"/>
                      <a:lumOff val="60000"/>
                    </a:schemeClr>
                  </a:gs>
                  <a:gs pos="90000">
                    <a:schemeClr val="accent4"/>
                  </a:gs>
                </a:gsLst>
                <a:lin ang="5400000" scaled="0"/>
              </a:gradFill>
              <a:ln>
                <a:gradFill>
                  <a:gsLst>
                    <a:gs pos="0">
                      <a:schemeClr val="accent4"/>
                    </a:gs>
                    <a:gs pos="100000">
                      <a:schemeClr val="accent4">
                        <a:lumMod val="75000"/>
                      </a:schemeClr>
                    </a:gs>
                  </a:gsLst>
                  <a:lin ang="5400000" scaled="1"/>
                </a:gradFill>
              </a:ln>
              <a:effectLst/>
              <a:scene3d>
                <a:camera prst="orthographicFront"/>
                <a:lightRig rig="threePt" dir="t"/>
              </a:scene3d>
              <a:sp3d contourW="9525"/>
            </c:spPr>
          </c:dPt>
          <c:dPt>
            <c:idx val="4"/>
            <c:bubble3D val="0"/>
            <c:spPr>
              <a:gradFill>
                <a:gsLst>
                  <a:gs pos="0">
                    <a:schemeClr val="accent5">
                      <a:lumMod val="40000"/>
                      <a:lumOff val="60000"/>
                    </a:schemeClr>
                  </a:gs>
                  <a:gs pos="90000">
                    <a:schemeClr val="accent5"/>
                  </a:gs>
                </a:gsLst>
                <a:lin ang="5400000" scaled="0"/>
              </a:gradFill>
              <a:ln>
                <a:gradFill>
                  <a:gsLst>
                    <a:gs pos="0">
                      <a:schemeClr val="accent5"/>
                    </a:gs>
                    <a:gs pos="100000">
                      <a:schemeClr val="accent5">
                        <a:lumMod val="75000"/>
                      </a:schemeClr>
                    </a:gs>
                  </a:gsLst>
                  <a:lin ang="5400000" scaled="1"/>
                </a:gradFill>
              </a:ln>
              <a:effectLst/>
              <a:scene3d>
                <a:camera prst="orthographicFront"/>
                <a:lightRig rig="threePt" dir="t"/>
              </a:scene3d>
              <a:sp3d contourW="9525"/>
            </c:spPr>
          </c:dPt>
          <c:dPt>
            <c:idx val="5"/>
            <c:bubble3D val="0"/>
            <c:spPr>
              <a:gradFill>
                <a:gsLst>
                  <a:gs pos="0">
                    <a:schemeClr val="accent6">
                      <a:lumMod val="40000"/>
                      <a:lumOff val="60000"/>
                    </a:schemeClr>
                  </a:gs>
                  <a:gs pos="90000">
                    <a:schemeClr val="accent6"/>
                  </a:gs>
                </a:gsLst>
                <a:lin ang="5400000" scaled="0"/>
              </a:gradFill>
              <a:ln>
                <a:gradFill>
                  <a:gsLst>
                    <a:gs pos="0">
                      <a:schemeClr val="accent6"/>
                    </a:gs>
                    <a:gs pos="100000">
                      <a:schemeClr val="accent6">
                        <a:lumMod val="75000"/>
                      </a:schemeClr>
                    </a:gs>
                  </a:gsLst>
                  <a:lin ang="5400000" scaled="1"/>
                </a:gradFill>
              </a:ln>
              <a:effectLst/>
              <a:scene3d>
                <a:camera prst="orthographicFront"/>
                <a:lightRig rig="threePt" dir="t"/>
              </a:scene3d>
              <a:sp3d contourW="9525"/>
            </c:spPr>
          </c:dPt>
          <c:dPt>
            <c:idx val="6"/>
            <c:bubble3D val="0"/>
            <c:spPr>
              <a:gradFill>
                <a:gsLst>
                  <a:gs pos="0">
                    <a:schemeClr val="accent1">
                      <a:lumMod val="60000"/>
                      <a:lumMod val="40000"/>
                      <a:lumOff val="60000"/>
                    </a:schemeClr>
                  </a:gs>
                  <a:gs pos="90000">
                    <a:schemeClr val="accent1">
                      <a:lumMod val="60000"/>
                    </a:schemeClr>
                  </a:gs>
                </a:gsLst>
                <a:lin ang="5400000" scaled="0"/>
              </a:gradFill>
              <a:ln>
                <a:gradFill>
                  <a:gsLst>
                    <a:gs pos="0">
                      <a:schemeClr val="accent1">
                        <a:lumMod val="60000"/>
                      </a:schemeClr>
                    </a:gs>
                    <a:gs pos="100000">
                      <a:schemeClr val="accent1">
                        <a:lumMod val="60000"/>
                        <a:lumMod val="75000"/>
                      </a:schemeClr>
                    </a:gs>
                  </a:gsLst>
                  <a:lin ang="5400000" scaled="1"/>
                </a:gradFill>
              </a:ln>
              <a:effectLst/>
              <a:scene3d>
                <a:camera prst="orthographicFront"/>
                <a:lightRig rig="threePt" dir="t"/>
              </a:scene3d>
              <a:sp3d contourW="9525"/>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1"/>
              <c:showSerName val="0"/>
              <c:showPercent val="0"/>
              <c:showBubbleSize val="0"/>
              <c:separator>
</c:separator>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1"/>
              <c:showSerName val="0"/>
              <c:showPercent val="0"/>
              <c:showBubbleSize val="0"/>
              <c:separator>
</c:separator>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1"/>
              <c:showSerName val="0"/>
              <c:showPercent val="0"/>
              <c:showBubbleSize val="0"/>
              <c:separator>
</c:separator>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1"/>
              <c:showSerName val="0"/>
              <c:showPercent val="0"/>
              <c:showBubbleSize val="0"/>
              <c:separator>
</c:separator>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1"/>
              <c:showSerName val="0"/>
              <c:showPercent val="0"/>
              <c:showBubbleSize val="0"/>
              <c:separator>
</c:separator>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1"/>
              <c:showSerName val="0"/>
              <c:showPercent val="0"/>
              <c:showBubbleSize val="0"/>
              <c:separator>
</c:separator>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1"/>
              <c:showSerName val="0"/>
              <c:showPercent val="0"/>
              <c:showBubbleSize val="0"/>
              <c:separator>
</c:separator>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'[基础表（画图用）.xls]Sheet3'!$B$1:$H$1</c:f>
              <c:strCache>
                <c:ptCount val="7"/>
                <c:pt idx="0">
                  <c:v>一般公共服务支出</c:v>
                </c:pt>
                <c:pt idx="1">
                  <c:v>教育支出</c:v>
                </c:pt>
                <c:pt idx="2">
                  <c:v>科学技术支出</c:v>
                </c:pt>
                <c:pt idx="3">
                  <c:v>文化旅游体育与传媒支出</c:v>
                </c:pt>
                <c:pt idx="4">
                  <c:v>社会保障和就业支出</c:v>
                </c:pt>
                <c:pt idx="5">
                  <c:v>卫生健康支出</c:v>
                </c:pt>
                <c:pt idx="6">
                  <c:v>住房保障支出</c:v>
                </c:pt>
              </c:strCache>
            </c:strRef>
          </c:cat>
          <c:val>
            <c:numRef>
              <c:f>'[基础表（画图用）.xls]Sheet3'!$B$3:$H$3</c:f>
              <c:numCache>
                <c:formatCode>General</c:formatCode>
                <c:ptCount val="7"/>
                <c:pt idx="4" c:formatCode="0.0%">
                  <c:v>0.726284886380967</c:v>
                </c:pt>
                <c:pt idx="5" c:formatCode="0.0%">
                  <c:v>0.114915357633064</c:v>
                </c:pt>
                <c:pt idx="6" c:formatCode="0.0%">
                  <c:v>0.158799755985969</c:v>
                </c:pt>
              </c:numCache>
            </c:numRef>
          </c:val>
        </c:ser>
        <c:dLbls>
          <c:showLegendKey val="0"/>
          <c:showVal val="1"/>
          <c:showCatName val="0"/>
          <c:showSerName val="0"/>
          <c:showPercent val="0"/>
          <c:showBubbleSize val="0"/>
        </c:dLbls>
      </c:pie3DChart>
      <c:spPr>
        <a:noFill/>
        <a:ln>
          <a:noFill/>
        </a:ln>
        <a:effectLst/>
      </c:spPr>
    </c:plotArea>
    <c:legend>
      <c:legendPos val="t"/>
      <c:layout>
        <c:manualLayout>
          <c:xMode val="edge"/>
          <c:yMode val="edge"/>
          <c:x val="0.0892857142857143"/>
          <c:y val="0.123505976095618"/>
          <c:w val="0.854744136460554"/>
          <c:h val="0.1629844259326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692c1379-eea2-4ad8-a1d0-1d4074dae86c}"/>
      </c:ext>
    </c:extLst>
  </c:chart>
  <c:spPr>
    <a:solidFill>
      <a:schemeClr val="bg1"/>
    </a:solidFill>
    <a:ln w="6350" cap="flat" cmpd="sng" algn="ctr">
      <a:solidFill>
        <a:schemeClr val="tx1">
          <a:lumMod val="50000"/>
          <a:lumOff val="50000"/>
          <a:alpha val="25000"/>
        </a:schemeClr>
      </a:solidFill>
      <a:round/>
    </a:ln>
    <a:effectLst/>
  </c:spPr>
  <c:txPr>
    <a:bodyPr/>
    <a:lstStyle/>
    <a:p>
      <a:pPr>
        <a:defRPr lang="zh-CN" b="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9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0">
      <cs:styleClr val="auto"/>
    </cs:fillRef>
    <cs:effectRef idx="0"/>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25</Pages>
  <Words>8389</Words>
  <Characters>9447</Characters>
  <Lines>61</Lines>
  <Paragraphs>17</Paragraphs>
  <TotalTime>26</TotalTime>
  <ScaleCrop>false</ScaleCrop>
  <LinksUpToDate>false</LinksUpToDate>
  <CharactersWithSpaces>9471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cc</cp:lastModifiedBy>
  <cp:lastPrinted>2025-08-06T17:34:00Z</cp:lastPrinted>
  <dcterms:modified xsi:type="dcterms:W3CDTF">2025-09-11T06:35:29Z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B653EF23877A4368AB1EBACF5674B0A9_13</vt:lpwstr>
  </property>
  <property fmtid="{D5CDD505-2E9C-101B-9397-08002B2CF9AE}" pid="4" name="KSOTemplateDocerSaveRecord">
    <vt:lpwstr>eyJoZGlkIjoiNGFhMzQ4NjMxYjkyZDY1MGFjMWZiNDUzMjAxZDI4N2MiLCJ1c2VySWQiOiIxOTQ4MTQxMDgifQ==</vt:lpwstr>
  </property>
</Properties>
</file>